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1F9" w:rsidRPr="00FC49A2" w:rsidRDefault="002B71F9" w:rsidP="00FC49A2">
      <w:pPr>
        <w:pStyle w:val="Encabezado"/>
        <w:spacing w:line="360" w:lineRule="auto"/>
        <w:jc w:val="both"/>
        <w:rPr>
          <w:rFonts w:eastAsia="Arial Unicode MS"/>
          <w:color w:val="auto"/>
          <w:sz w:val="24"/>
          <w:szCs w:val="24"/>
          <w:lang w:val="es-ES"/>
        </w:rPr>
      </w:pPr>
      <w:r w:rsidRPr="00FC49A2">
        <w:rPr>
          <w:rFonts w:eastAsia="Arial Unicode MS"/>
          <w:color w:val="auto"/>
          <w:sz w:val="24"/>
          <w:szCs w:val="24"/>
          <w:lang w:val="es-ES"/>
        </w:rPr>
        <w:t xml:space="preserve">AL DESPACHO DEL SEÑOR JUEZ HOY NUEVE (09) DE MARZO DE DOS MIL VEINTITRÉS (2023). DEMANDA </w:t>
      </w:r>
      <w:r w:rsidR="00FC49A2" w:rsidRPr="00FC49A2">
        <w:rPr>
          <w:rFonts w:eastAsia="Arial Unicode MS"/>
          <w:color w:val="auto"/>
          <w:sz w:val="24"/>
          <w:szCs w:val="24"/>
          <w:lang w:val="es-ES"/>
        </w:rPr>
        <w:t xml:space="preserve">IMPOSICION DE </w:t>
      </w:r>
      <w:proofErr w:type="gramStart"/>
      <w:r w:rsidR="00FC49A2" w:rsidRPr="00FC49A2">
        <w:rPr>
          <w:rFonts w:eastAsia="Arial Unicode MS"/>
          <w:color w:val="auto"/>
          <w:sz w:val="24"/>
          <w:szCs w:val="24"/>
          <w:lang w:val="es-ES"/>
        </w:rPr>
        <w:t>SERVIDUMBRE</w:t>
      </w:r>
      <w:r w:rsidRPr="00FC49A2">
        <w:rPr>
          <w:rFonts w:eastAsia="Arial Unicode MS"/>
          <w:color w:val="auto"/>
          <w:sz w:val="24"/>
          <w:szCs w:val="24"/>
          <w:lang w:val="es-ES"/>
        </w:rPr>
        <w:t xml:space="preserve">  BAJO</w:t>
      </w:r>
      <w:proofErr w:type="gramEnd"/>
      <w:r w:rsidRPr="00FC49A2">
        <w:rPr>
          <w:rFonts w:eastAsia="Arial Unicode MS"/>
          <w:color w:val="auto"/>
          <w:sz w:val="24"/>
          <w:szCs w:val="24"/>
          <w:lang w:val="es-ES"/>
        </w:rPr>
        <w:t xml:space="preserve"> EL N° </w:t>
      </w:r>
      <w:r w:rsidR="00FC49A2" w:rsidRPr="00FC49A2">
        <w:rPr>
          <w:rFonts w:eastAsia="Arial Unicode MS"/>
          <w:color w:val="auto"/>
          <w:sz w:val="24"/>
          <w:szCs w:val="24"/>
          <w:lang w:val="es-ES"/>
        </w:rPr>
        <w:t>2017- 074</w:t>
      </w:r>
      <w:r w:rsidRPr="00FC49A2">
        <w:rPr>
          <w:rFonts w:eastAsia="Arial Unicode MS"/>
          <w:color w:val="auto"/>
          <w:sz w:val="24"/>
          <w:szCs w:val="24"/>
          <w:lang w:val="es-ES"/>
        </w:rPr>
        <w:t xml:space="preserve"> SÍRVASE PROVEER.</w:t>
      </w:r>
    </w:p>
    <w:p w:rsidR="002B71F9" w:rsidRPr="00FC49A2" w:rsidRDefault="002B71F9" w:rsidP="00FC49A2">
      <w:pPr>
        <w:pStyle w:val="Encabezado"/>
        <w:spacing w:line="360" w:lineRule="auto"/>
        <w:jc w:val="both"/>
        <w:rPr>
          <w:rFonts w:eastAsia="Arial Unicode MS"/>
          <w:color w:val="auto"/>
          <w:sz w:val="24"/>
          <w:szCs w:val="24"/>
          <w:lang w:val="es-ES"/>
        </w:rPr>
      </w:pPr>
    </w:p>
    <w:p w:rsidR="002B71F9" w:rsidRPr="00FC49A2" w:rsidRDefault="002B71F9" w:rsidP="00FC49A2">
      <w:pPr>
        <w:pStyle w:val="Encabezado"/>
        <w:spacing w:line="360" w:lineRule="auto"/>
        <w:rPr>
          <w:rFonts w:eastAsia="Arial Unicode MS"/>
          <w:color w:val="auto"/>
          <w:sz w:val="24"/>
          <w:szCs w:val="24"/>
          <w:lang w:val="es-ES"/>
        </w:rPr>
      </w:pPr>
      <w:r w:rsidRPr="00FC49A2">
        <w:rPr>
          <w:rFonts w:eastAsia="Arial Unicode MS"/>
          <w:color w:val="auto"/>
          <w:sz w:val="24"/>
          <w:szCs w:val="24"/>
          <w:lang w:val="es-ES"/>
        </w:rPr>
        <w:t>MARCELA MORENO ALDANA</w:t>
      </w:r>
    </w:p>
    <w:p w:rsidR="002B71F9" w:rsidRPr="00FC49A2" w:rsidRDefault="002B71F9" w:rsidP="00FC49A2">
      <w:pPr>
        <w:pStyle w:val="Encabezado"/>
        <w:spacing w:line="360" w:lineRule="auto"/>
        <w:rPr>
          <w:rFonts w:eastAsia="Arial Unicode MS"/>
          <w:color w:val="auto"/>
          <w:sz w:val="24"/>
          <w:szCs w:val="24"/>
          <w:lang w:val="es-ES"/>
        </w:rPr>
      </w:pPr>
      <w:r w:rsidRPr="00FC49A2">
        <w:rPr>
          <w:rFonts w:eastAsia="Arial Unicode MS"/>
          <w:color w:val="auto"/>
          <w:sz w:val="24"/>
          <w:szCs w:val="24"/>
          <w:lang w:val="es-ES"/>
        </w:rPr>
        <w:t>SECRETARIA</w:t>
      </w:r>
    </w:p>
    <w:p w:rsidR="002B71F9" w:rsidRPr="00FC49A2" w:rsidRDefault="002B71F9" w:rsidP="00FC49A2">
      <w:pPr>
        <w:pStyle w:val="Encabezado"/>
        <w:spacing w:line="360" w:lineRule="auto"/>
        <w:rPr>
          <w:rFonts w:eastAsia="Arial Unicode MS"/>
          <w:color w:val="auto"/>
          <w:sz w:val="24"/>
          <w:szCs w:val="24"/>
          <w:lang w:val="es-ES"/>
        </w:rPr>
      </w:pPr>
    </w:p>
    <w:p w:rsidR="002B71F9" w:rsidRPr="00FC49A2" w:rsidRDefault="002B71F9" w:rsidP="00FC49A2">
      <w:pPr>
        <w:tabs>
          <w:tab w:val="left" w:pos="708"/>
        </w:tabs>
        <w:spacing w:line="360" w:lineRule="auto"/>
        <w:jc w:val="center"/>
        <w:rPr>
          <w:rFonts w:eastAsia="Arial Unicode MS"/>
          <w:b/>
          <w:color w:val="auto"/>
          <w:sz w:val="24"/>
          <w:szCs w:val="24"/>
          <w:lang w:val="es-ES"/>
        </w:rPr>
      </w:pPr>
    </w:p>
    <w:p w:rsidR="002B71F9" w:rsidRPr="00FC49A2" w:rsidRDefault="002B71F9" w:rsidP="00FC49A2">
      <w:pPr>
        <w:spacing w:line="360" w:lineRule="auto"/>
        <w:jc w:val="center"/>
        <w:rPr>
          <w:rFonts w:eastAsia="Arial Unicode MS"/>
          <w:b/>
          <w:bCs/>
          <w:color w:val="auto"/>
          <w:sz w:val="24"/>
          <w:szCs w:val="24"/>
          <w:lang w:val="es-MX"/>
        </w:rPr>
      </w:pPr>
      <w:r w:rsidRPr="00FC49A2">
        <w:rPr>
          <w:rFonts w:eastAsia="Arial Unicode MS"/>
          <w:b/>
          <w:bCs/>
          <w:color w:val="auto"/>
          <w:sz w:val="24"/>
          <w:szCs w:val="24"/>
          <w:lang w:val="es-MX"/>
        </w:rPr>
        <w:t>REPÚBLICA DE COLOMBIA</w:t>
      </w:r>
    </w:p>
    <w:p w:rsidR="002B71F9" w:rsidRPr="00FC49A2" w:rsidRDefault="002B71F9" w:rsidP="00FC49A2">
      <w:pPr>
        <w:spacing w:line="360" w:lineRule="auto"/>
        <w:jc w:val="center"/>
        <w:rPr>
          <w:rFonts w:eastAsia="Arial Unicode MS"/>
          <w:b/>
          <w:bCs/>
          <w:color w:val="auto"/>
          <w:sz w:val="24"/>
          <w:szCs w:val="24"/>
          <w:lang w:val="es-MX"/>
        </w:rPr>
      </w:pPr>
      <w:r w:rsidRPr="00FC49A2">
        <w:rPr>
          <w:rFonts w:eastAsia="Arial Unicode MS"/>
          <w:b/>
          <w:bCs/>
          <w:color w:val="auto"/>
          <w:sz w:val="24"/>
          <w:szCs w:val="24"/>
          <w:lang w:val="es-MX"/>
        </w:rPr>
        <w:t>RAMA JUDICIAL DEL PODER PÚBLICO</w:t>
      </w:r>
    </w:p>
    <w:p w:rsidR="002B71F9" w:rsidRPr="00FC49A2" w:rsidRDefault="002B71F9" w:rsidP="00FC49A2">
      <w:pPr>
        <w:spacing w:line="360" w:lineRule="auto"/>
        <w:jc w:val="center"/>
        <w:rPr>
          <w:rFonts w:eastAsia="Arial Unicode MS"/>
          <w:b/>
          <w:color w:val="auto"/>
          <w:sz w:val="24"/>
          <w:szCs w:val="24"/>
          <w:highlight w:val="white"/>
          <w:lang w:val="es-MX"/>
        </w:rPr>
      </w:pPr>
      <w:r w:rsidRPr="00FC49A2">
        <w:rPr>
          <w:rFonts w:eastAsia="Arial Unicode MS"/>
          <w:noProof/>
          <w:color w:val="auto"/>
          <w:sz w:val="24"/>
          <w:szCs w:val="24"/>
          <w:lang w:eastAsia="en-US"/>
        </w:rPr>
        <w:drawing>
          <wp:anchor distT="0" distB="0" distL="114300" distR="114300" simplePos="0" relativeHeight="251659264" behindDoc="1" locked="0" layoutInCell="1" allowOverlap="1" wp14:anchorId="36854601" wp14:editId="31DB7865">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2B71F9" w:rsidRPr="00FC49A2" w:rsidRDefault="002B71F9" w:rsidP="00FC49A2">
      <w:pPr>
        <w:spacing w:line="360" w:lineRule="auto"/>
        <w:jc w:val="center"/>
        <w:rPr>
          <w:rFonts w:eastAsia="Arial Unicode MS"/>
          <w:b/>
          <w:color w:val="auto"/>
          <w:sz w:val="24"/>
          <w:szCs w:val="24"/>
          <w:highlight w:val="white"/>
          <w:lang w:val="es-MX"/>
        </w:rPr>
      </w:pPr>
    </w:p>
    <w:p w:rsidR="002B71F9" w:rsidRPr="00FC49A2" w:rsidRDefault="002B71F9" w:rsidP="00FC49A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4"/>
          <w:szCs w:val="24"/>
          <w:highlight w:val="white"/>
          <w:lang w:val="es-MX"/>
        </w:rPr>
      </w:pPr>
    </w:p>
    <w:p w:rsidR="002B71F9" w:rsidRPr="00FC49A2" w:rsidRDefault="002B71F9" w:rsidP="00FC49A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4"/>
          <w:szCs w:val="24"/>
          <w:highlight w:val="white"/>
          <w:lang w:val="es-MX"/>
        </w:rPr>
      </w:pPr>
    </w:p>
    <w:p w:rsidR="002B71F9" w:rsidRPr="00FC49A2" w:rsidRDefault="002B71F9" w:rsidP="00FC49A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4"/>
          <w:szCs w:val="24"/>
          <w:lang w:val="es-MX"/>
        </w:rPr>
      </w:pPr>
      <w:r w:rsidRPr="00FC49A2">
        <w:rPr>
          <w:rFonts w:eastAsia="Arial Unicode MS"/>
          <w:b/>
          <w:color w:val="auto"/>
          <w:sz w:val="24"/>
          <w:szCs w:val="24"/>
          <w:highlight w:val="white"/>
          <w:lang w:val="es-MX"/>
        </w:rPr>
        <w:t>JUZGADO PROMISCUO MUNICIPAL DE</w:t>
      </w:r>
      <w:r w:rsidRPr="00FC49A2">
        <w:rPr>
          <w:rFonts w:eastAsia="Arial Unicode MS"/>
          <w:b/>
          <w:color w:val="auto"/>
          <w:sz w:val="24"/>
          <w:szCs w:val="24"/>
          <w:lang w:val="es-MX"/>
        </w:rPr>
        <w:t xml:space="preserve"> SAMACÁ</w:t>
      </w:r>
    </w:p>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4"/>
          <w:szCs w:val="24"/>
          <w:lang w:val="es-MX"/>
        </w:rPr>
      </w:pPr>
    </w:p>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4"/>
          <w:szCs w:val="24"/>
          <w:lang w:val="es-MX"/>
        </w:rPr>
      </w:pPr>
    </w:p>
    <w:tbl>
      <w:tblPr>
        <w:tblStyle w:val="Tablaconcuadrcula"/>
        <w:tblW w:w="8373" w:type="dxa"/>
        <w:tblLook w:val="04A0" w:firstRow="1" w:lastRow="0" w:firstColumn="1" w:lastColumn="0" w:noHBand="0" w:noVBand="1"/>
      </w:tblPr>
      <w:tblGrid>
        <w:gridCol w:w="8373"/>
      </w:tblGrid>
      <w:tr w:rsidR="00FC49A2" w:rsidRPr="00206506" w:rsidTr="00C45B19">
        <w:trPr>
          <w:trHeight w:val="646"/>
        </w:trPr>
        <w:tc>
          <w:tcPr>
            <w:tcW w:w="8373" w:type="dxa"/>
          </w:tcPr>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4"/>
                <w:szCs w:val="24"/>
                <w:lang w:val="es-MX"/>
              </w:rPr>
            </w:pPr>
            <w:r w:rsidRPr="00FC49A2">
              <w:rPr>
                <w:rFonts w:eastAsia="Arial Unicode MS"/>
                <w:b/>
                <w:color w:val="auto"/>
                <w:sz w:val="24"/>
                <w:szCs w:val="24"/>
                <w:lang w:val="es-MX"/>
              </w:rPr>
              <w:t xml:space="preserve">      REFERENCIA:   </w:t>
            </w:r>
            <w:r w:rsidR="00FC49A2" w:rsidRPr="00FC49A2">
              <w:rPr>
                <w:rFonts w:eastAsia="Arial Unicode MS"/>
                <w:b/>
                <w:color w:val="auto"/>
                <w:sz w:val="24"/>
                <w:szCs w:val="24"/>
                <w:lang w:val="es-MX"/>
              </w:rPr>
              <w:t>IMPOSICION DE SERVIDUMBRE</w:t>
            </w:r>
          </w:p>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4"/>
                <w:szCs w:val="24"/>
                <w:lang w:val="es-MX"/>
              </w:rPr>
            </w:pPr>
            <w:r w:rsidRPr="00FC49A2">
              <w:rPr>
                <w:rFonts w:eastAsia="Arial Unicode MS"/>
                <w:b/>
                <w:color w:val="auto"/>
                <w:sz w:val="24"/>
                <w:szCs w:val="24"/>
                <w:lang w:val="es-MX"/>
              </w:rPr>
              <w:t xml:space="preserve">      RADICADO:       </w:t>
            </w:r>
            <w:r w:rsidR="00FC49A2" w:rsidRPr="00FC49A2">
              <w:rPr>
                <w:rFonts w:eastAsia="Arial Unicode MS"/>
                <w:b/>
                <w:color w:val="auto"/>
                <w:sz w:val="24"/>
                <w:szCs w:val="24"/>
                <w:lang w:val="es-ES"/>
              </w:rPr>
              <w:t>2017- 074</w:t>
            </w:r>
          </w:p>
        </w:tc>
      </w:tr>
    </w:tbl>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4"/>
          <w:szCs w:val="24"/>
          <w:lang w:val="es-ES"/>
        </w:rPr>
      </w:pPr>
    </w:p>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4"/>
          <w:szCs w:val="24"/>
          <w:lang w:val="es-ES"/>
        </w:rPr>
      </w:pPr>
    </w:p>
    <w:p w:rsidR="002B71F9" w:rsidRPr="00FC49A2" w:rsidRDefault="002B71F9" w:rsidP="00FC49A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4"/>
          <w:szCs w:val="24"/>
          <w:lang w:val="es-ES"/>
        </w:rPr>
      </w:pPr>
      <w:r w:rsidRPr="00FC49A2">
        <w:rPr>
          <w:rFonts w:eastAsia="Arial Unicode MS"/>
          <w:color w:val="auto"/>
          <w:sz w:val="24"/>
          <w:szCs w:val="24"/>
          <w:lang w:val="es-ES"/>
        </w:rPr>
        <w:t>Samacá, nueve (09) de marzo de dos mil veintitrés (2023)</w:t>
      </w:r>
    </w:p>
    <w:p w:rsidR="00FC49A2" w:rsidRPr="00FC49A2" w:rsidRDefault="00FC49A2" w:rsidP="00FC49A2">
      <w:pPr>
        <w:spacing w:line="360" w:lineRule="auto"/>
        <w:rPr>
          <w:b/>
          <w:color w:val="auto"/>
          <w:sz w:val="24"/>
          <w:szCs w:val="24"/>
          <w:lang w:val="es-ES"/>
        </w:rPr>
      </w:pPr>
    </w:p>
    <w:p w:rsidR="00FC49A2" w:rsidRPr="00FC49A2" w:rsidRDefault="00FC49A2" w:rsidP="00FC49A2">
      <w:pPr>
        <w:spacing w:line="360" w:lineRule="auto"/>
        <w:rPr>
          <w:color w:val="auto"/>
          <w:sz w:val="24"/>
          <w:szCs w:val="24"/>
          <w:lang w:val="es-ES"/>
        </w:rPr>
      </w:pPr>
      <w:r w:rsidRPr="00FC49A2">
        <w:rPr>
          <w:b/>
          <w:color w:val="auto"/>
          <w:sz w:val="24"/>
          <w:szCs w:val="24"/>
          <w:lang w:val="es-ES"/>
        </w:rPr>
        <w:t xml:space="preserve">CLASE DE PROCESO:  </w:t>
      </w:r>
      <w:r w:rsidRPr="00FC49A2">
        <w:rPr>
          <w:color w:val="auto"/>
          <w:sz w:val="24"/>
          <w:szCs w:val="24"/>
          <w:lang w:val="es-ES"/>
        </w:rPr>
        <w:t xml:space="preserve">    IMPOSICIÓN DE SERVIDUMBRE</w:t>
      </w:r>
    </w:p>
    <w:p w:rsidR="00FC49A2" w:rsidRPr="00FC49A2" w:rsidRDefault="00FC49A2" w:rsidP="00FC49A2">
      <w:pPr>
        <w:spacing w:line="360" w:lineRule="auto"/>
        <w:rPr>
          <w:color w:val="auto"/>
          <w:sz w:val="24"/>
          <w:szCs w:val="24"/>
          <w:lang w:val="es-ES"/>
        </w:rPr>
      </w:pPr>
    </w:p>
    <w:p w:rsidR="00FC49A2" w:rsidRPr="00FC49A2" w:rsidRDefault="00FC49A2" w:rsidP="00FC49A2">
      <w:pPr>
        <w:spacing w:line="360" w:lineRule="auto"/>
        <w:rPr>
          <w:color w:val="auto"/>
          <w:sz w:val="24"/>
          <w:szCs w:val="24"/>
          <w:lang w:val="es-ES"/>
        </w:rPr>
      </w:pPr>
      <w:r w:rsidRPr="00FC49A2">
        <w:rPr>
          <w:b/>
          <w:color w:val="auto"/>
          <w:sz w:val="24"/>
          <w:szCs w:val="24"/>
          <w:lang w:val="es-ES"/>
        </w:rPr>
        <w:t>RADICACIÓN:</w:t>
      </w:r>
      <w:r w:rsidRPr="00FC49A2">
        <w:rPr>
          <w:color w:val="auto"/>
          <w:sz w:val="24"/>
          <w:szCs w:val="24"/>
          <w:lang w:val="es-ES"/>
        </w:rPr>
        <w:t xml:space="preserve">               2017-0074-00</w:t>
      </w:r>
    </w:p>
    <w:p w:rsidR="00FC49A2" w:rsidRPr="00FC49A2" w:rsidRDefault="00FC49A2" w:rsidP="00FC49A2">
      <w:pPr>
        <w:spacing w:line="360" w:lineRule="auto"/>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b/>
          <w:color w:val="auto"/>
          <w:sz w:val="24"/>
          <w:szCs w:val="24"/>
          <w:lang w:val="es-ES"/>
        </w:rPr>
        <w:t>DEMANDANTE:</w:t>
      </w:r>
      <w:r w:rsidRPr="00FC49A2">
        <w:rPr>
          <w:color w:val="auto"/>
          <w:sz w:val="24"/>
          <w:szCs w:val="24"/>
          <w:lang w:val="es-ES"/>
        </w:rPr>
        <w:t xml:space="preserve">                TRANSPORTADORA DE GAS INTERNACIONAL </w:t>
      </w: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                                      S.A. E.S.P. TGI S.A. E.S.P.</w:t>
      </w:r>
    </w:p>
    <w:p w:rsidR="00FC49A2" w:rsidRPr="00FC49A2" w:rsidRDefault="00FC49A2" w:rsidP="00FC49A2">
      <w:pPr>
        <w:spacing w:line="360" w:lineRule="auto"/>
        <w:rPr>
          <w:color w:val="auto"/>
          <w:sz w:val="24"/>
          <w:szCs w:val="24"/>
          <w:lang w:val="es-ES"/>
        </w:rPr>
      </w:pPr>
      <w:r w:rsidRPr="00FC49A2">
        <w:rPr>
          <w:b/>
          <w:color w:val="auto"/>
          <w:sz w:val="24"/>
          <w:szCs w:val="24"/>
          <w:lang w:val="es-ES"/>
        </w:rPr>
        <w:t>DEMANDADOS</w:t>
      </w:r>
      <w:r w:rsidRPr="00FC49A2">
        <w:rPr>
          <w:color w:val="auto"/>
          <w:sz w:val="24"/>
          <w:szCs w:val="24"/>
          <w:lang w:val="es-ES"/>
        </w:rPr>
        <w:t xml:space="preserve">:             CLEMENTINA SANCHEZ NEISA, HEREDEROS INDETERMINADOS </w:t>
      </w:r>
      <w:proofErr w:type="gramStart"/>
      <w:r w:rsidRPr="00FC49A2">
        <w:rPr>
          <w:color w:val="auto"/>
          <w:sz w:val="24"/>
          <w:szCs w:val="24"/>
          <w:lang w:val="es-ES"/>
        </w:rPr>
        <w:t>DE  JESUS</w:t>
      </w:r>
      <w:proofErr w:type="gramEnd"/>
      <w:r w:rsidRPr="00FC49A2">
        <w:rPr>
          <w:color w:val="auto"/>
          <w:sz w:val="24"/>
          <w:szCs w:val="24"/>
          <w:lang w:val="es-ES"/>
        </w:rPr>
        <w:t xml:space="preserve"> SANCHEZ NEISA, JOSE ANTONIO SANCHEZ, HEREDEROS INDETERMINADOS DE JOSE DEL CARMNE SANCHEZ NEISA, TERESA SANCHEZ NEISA,  ENGRACIA MUNEVAR MONTAÑEZ  Y PERSONAS INDETRMINADAS.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Ttulo1"/>
        <w:spacing w:line="360" w:lineRule="auto"/>
        <w:ind w:firstLine="709"/>
        <w:jc w:val="center"/>
        <w:rPr>
          <w:rFonts w:ascii="Times New Roman" w:hAnsi="Times New Roman" w:cs="Times New Roman"/>
          <w:b w:val="0"/>
          <w:bCs w:val="0"/>
          <w:i w:val="0"/>
          <w:iCs w:val="0"/>
          <w:sz w:val="24"/>
        </w:rPr>
      </w:pPr>
      <w:r w:rsidRPr="00FC49A2">
        <w:rPr>
          <w:rFonts w:ascii="Times New Roman" w:hAnsi="Times New Roman" w:cs="Times New Roman"/>
          <w:sz w:val="24"/>
        </w:rPr>
        <w:t>ASUNTO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lastRenderedPageBreak/>
        <w:t>Procede el despacho a proferir sentencia dentro del proceso de imposición de servidumbre legal de gasoducto y tránsito con ocupación permanente con fines de utilidad pública instaurado por la empresa TRANSPORTADORA DE GAS INTERNACIONAL S.A. E.S.P. T.G.I. S.A. E.S.P. contra CLEMENTINA SANCHEZ NEISA, HEREDEROS INDETERMINADOS DE  JESUS SANCHEZ NEISA, JOSE ANTONIO SANCHEZ, HEREDEROS INDETERMINADOS DE JOSE DEL CARMNE SANCHEZ NEISA, TERESA SANCHEZ NEISA,  ENGRACIA MUNEVAR MONTAÑEZ  Y PERSONAS INDETRMINADAS.</w:t>
      </w:r>
    </w:p>
    <w:p w:rsidR="00FC49A2" w:rsidRPr="00FC49A2" w:rsidRDefault="00FC49A2" w:rsidP="00FC49A2">
      <w:pPr>
        <w:spacing w:line="360" w:lineRule="auto"/>
        <w:jc w:val="both"/>
        <w:rPr>
          <w:b/>
          <w:color w:val="auto"/>
          <w:sz w:val="24"/>
          <w:szCs w:val="24"/>
          <w:lang w:val="es-ES"/>
        </w:rPr>
      </w:pPr>
    </w:p>
    <w:p w:rsidR="00FC49A2" w:rsidRPr="00FC49A2" w:rsidRDefault="00FC49A2" w:rsidP="00FC49A2">
      <w:pPr>
        <w:spacing w:line="360" w:lineRule="auto"/>
        <w:jc w:val="center"/>
        <w:rPr>
          <w:b/>
          <w:color w:val="auto"/>
          <w:sz w:val="24"/>
          <w:szCs w:val="24"/>
          <w:lang w:val="es-ES"/>
        </w:rPr>
      </w:pPr>
      <w:r w:rsidRPr="00FC49A2">
        <w:rPr>
          <w:b/>
          <w:color w:val="auto"/>
          <w:sz w:val="24"/>
          <w:szCs w:val="24"/>
          <w:lang w:val="es-ES"/>
        </w:rPr>
        <w:t>ANTECEDENTES PROCESALES</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La empresa TRANSPORTADORA  DE GAS INTERNACIONAL S.A. E.S.P. – T.G.I. A. E.S.P., mediante apoderada judicial,  presentó demanda  de imposición de servidumbre legal de gasoducto y tránsito con ocupación permanente con fines de utilidad pública  en contra de CLEMENTINA SANCHEZ NEISA, HEREDEROS INDETERMINADOS DE  JESUS SANCHEZ NEISA, JOSE ANTONIO SANCHEZ, HEREDEROS INDETERMINADOS DE JOSE DEL CARMNE SANCHEZ NEISA, TERESA SANCHEZ NEISA,  ENGRACIA MUNEVAR MONTAÑEZ  Y PERSONAS INDETRMINADAS en relación con el predio denominado “CASA DE TEJA”,  ubicado en la  vereda TIBAQUIRA de la jurisdicción del municipio de Samacá, identificado con el  folio de matrícula  inmobiliaria  N° 070-61555 de la Oficina de Registro de Instrumentos Públicos de Tunja y respecto de  una franja de  terreno de cuarenta y un  metros  (41 </w:t>
      </w:r>
      <w:proofErr w:type="spellStart"/>
      <w:r w:rsidRPr="00FC49A2">
        <w:rPr>
          <w:color w:val="auto"/>
          <w:sz w:val="24"/>
          <w:szCs w:val="24"/>
          <w:lang w:val="es-ES"/>
        </w:rPr>
        <w:t>mts</w:t>
      </w:r>
      <w:proofErr w:type="spellEnd"/>
      <w:r w:rsidRPr="00FC49A2">
        <w:rPr>
          <w:color w:val="auto"/>
          <w:sz w:val="24"/>
          <w:szCs w:val="24"/>
          <w:lang w:val="es-ES"/>
        </w:rPr>
        <w:t xml:space="preserve">) de largo  y 16 metros (16 </w:t>
      </w:r>
      <w:proofErr w:type="spellStart"/>
      <w:r w:rsidRPr="00FC49A2">
        <w:rPr>
          <w:color w:val="auto"/>
          <w:sz w:val="24"/>
          <w:szCs w:val="24"/>
          <w:lang w:val="es-ES"/>
        </w:rPr>
        <w:t>mts</w:t>
      </w:r>
      <w:proofErr w:type="spellEnd"/>
      <w:r w:rsidRPr="00FC49A2">
        <w:rPr>
          <w:color w:val="auto"/>
          <w:sz w:val="24"/>
          <w:szCs w:val="24"/>
          <w:lang w:val="es-ES"/>
        </w:rPr>
        <w:t>) de ancho para un total de 656m2..</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Con la demanda fueron allegados los siguientes documentos:</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Prrafodelista"/>
        <w:numPr>
          <w:ilvl w:val="0"/>
          <w:numId w:val="1"/>
        </w:numPr>
        <w:spacing w:line="360" w:lineRule="auto"/>
        <w:jc w:val="both"/>
      </w:pPr>
      <w:r w:rsidRPr="00FC49A2">
        <w:t xml:space="preserve">El plano en el que figura el curso que sigue el gasoducto objeto del proyecto </w:t>
      </w:r>
      <w:proofErr w:type="gramStart"/>
      <w:r w:rsidRPr="00FC49A2">
        <w:t>“ Gasoducto</w:t>
      </w:r>
      <w:proofErr w:type="gramEnd"/>
      <w:r w:rsidRPr="00FC49A2">
        <w:t xml:space="preserve"> </w:t>
      </w:r>
      <w:proofErr w:type="spellStart"/>
      <w:r w:rsidRPr="00FC49A2">
        <w:t>Cusiana</w:t>
      </w:r>
      <w:proofErr w:type="spellEnd"/>
      <w:r w:rsidRPr="00FC49A2">
        <w:t>- el porvenir- La Belleza” con demarcación especifica de las áreas.</w:t>
      </w:r>
    </w:p>
    <w:p w:rsidR="00FC49A2" w:rsidRPr="00FC49A2" w:rsidRDefault="00FC49A2" w:rsidP="00FC49A2">
      <w:pPr>
        <w:pStyle w:val="Prrafodelista"/>
        <w:numPr>
          <w:ilvl w:val="0"/>
          <w:numId w:val="1"/>
        </w:numPr>
        <w:spacing w:line="360" w:lineRule="auto"/>
        <w:jc w:val="both"/>
      </w:pPr>
      <w:r w:rsidRPr="00FC49A2">
        <w:t>Folio de matrícula inmobiliaria especial del predio N° 070-61555 de la Oficina de Registro de Instrumentos Públicos de Tunja.</w:t>
      </w:r>
    </w:p>
    <w:p w:rsidR="00FC49A2" w:rsidRPr="00FC49A2" w:rsidRDefault="00FC49A2" w:rsidP="00FC49A2">
      <w:pPr>
        <w:pStyle w:val="Prrafodelista"/>
        <w:numPr>
          <w:ilvl w:val="0"/>
          <w:numId w:val="1"/>
        </w:numPr>
        <w:spacing w:line="360" w:lineRule="auto"/>
        <w:jc w:val="both"/>
      </w:pPr>
      <w:r w:rsidRPr="00FC49A2">
        <w:t>Ficha técnica del inventario del predio</w:t>
      </w:r>
    </w:p>
    <w:p w:rsidR="00FC49A2" w:rsidRPr="00FC49A2" w:rsidRDefault="00FC49A2" w:rsidP="00FC49A2">
      <w:pPr>
        <w:pStyle w:val="Prrafodelista"/>
        <w:numPr>
          <w:ilvl w:val="0"/>
          <w:numId w:val="1"/>
        </w:numPr>
        <w:spacing w:line="360" w:lineRule="auto"/>
        <w:jc w:val="both"/>
      </w:pPr>
      <w:r w:rsidRPr="00FC49A2">
        <w:t xml:space="preserve">Certificado de existencia y representación legal de la sociedad anónima TRANSPORTADORA DE GAS INTERNACIONAL S.A. </w:t>
      </w:r>
      <w:proofErr w:type="gramStart"/>
      <w:r w:rsidRPr="00FC49A2">
        <w:t>ESP. ,</w:t>
      </w:r>
      <w:proofErr w:type="gramEnd"/>
      <w:r w:rsidRPr="00FC49A2">
        <w:t xml:space="preserve"> expedido por la Cámara de  Comercio  de Bucaramanga. </w:t>
      </w:r>
    </w:p>
    <w:p w:rsidR="00FC49A2" w:rsidRPr="00FC49A2" w:rsidRDefault="00FC49A2" w:rsidP="00FC49A2">
      <w:pPr>
        <w:pStyle w:val="Prrafodelista"/>
        <w:numPr>
          <w:ilvl w:val="0"/>
          <w:numId w:val="1"/>
        </w:numPr>
        <w:spacing w:line="360" w:lineRule="auto"/>
        <w:jc w:val="both"/>
      </w:pPr>
      <w:r w:rsidRPr="00FC49A2">
        <w:lastRenderedPageBreak/>
        <w:t>Escritos de poderes y sustituciones.</w:t>
      </w:r>
    </w:p>
    <w:p w:rsidR="00FC49A2" w:rsidRPr="00FC49A2" w:rsidRDefault="00FC49A2" w:rsidP="00FC49A2">
      <w:pPr>
        <w:pStyle w:val="Prrafodelista"/>
        <w:numPr>
          <w:ilvl w:val="0"/>
          <w:numId w:val="1"/>
        </w:numPr>
        <w:spacing w:line="360" w:lineRule="auto"/>
        <w:jc w:val="both"/>
      </w:pPr>
      <w:r w:rsidRPr="00FC49A2">
        <w:t>Acta de reconocimiento de servidumbre de daños</w:t>
      </w:r>
    </w:p>
    <w:p w:rsidR="00FC49A2" w:rsidRPr="00FC49A2" w:rsidRDefault="00FC49A2" w:rsidP="00FC49A2">
      <w:pPr>
        <w:pStyle w:val="Prrafodelista"/>
        <w:numPr>
          <w:ilvl w:val="0"/>
          <w:numId w:val="1"/>
        </w:numPr>
        <w:spacing w:line="360" w:lineRule="auto"/>
        <w:jc w:val="both"/>
      </w:pPr>
      <w:r w:rsidRPr="00FC49A2">
        <w:t>Copia de permiso suscrito por los demandados</w:t>
      </w:r>
    </w:p>
    <w:p w:rsidR="00FC49A2" w:rsidRPr="00FC49A2" w:rsidRDefault="00FC49A2" w:rsidP="00FC49A2">
      <w:pPr>
        <w:pStyle w:val="Prrafodelista"/>
        <w:numPr>
          <w:ilvl w:val="0"/>
          <w:numId w:val="1"/>
        </w:numPr>
        <w:spacing w:line="360" w:lineRule="auto"/>
        <w:jc w:val="both"/>
      </w:pPr>
      <w:r w:rsidRPr="00FC49A2">
        <w:t xml:space="preserve"> Acuerdo utilización de la franja</w:t>
      </w:r>
    </w:p>
    <w:p w:rsidR="00FC49A2" w:rsidRPr="00FC49A2" w:rsidRDefault="00FC49A2" w:rsidP="00FC49A2">
      <w:pPr>
        <w:pStyle w:val="Prrafodelista"/>
        <w:numPr>
          <w:ilvl w:val="0"/>
          <w:numId w:val="1"/>
        </w:numPr>
        <w:spacing w:line="360" w:lineRule="auto"/>
        <w:jc w:val="both"/>
      </w:pPr>
      <w:r w:rsidRPr="00FC49A2">
        <w:t>Comprobante de pago</w:t>
      </w:r>
    </w:p>
    <w:p w:rsidR="00FC49A2" w:rsidRPr="00FC49A2" w:rsidRDefault="00FC49A2" w:rsidP="00FC49A2">
      <w:pPr>
        <w:pStyle w:val="Prrafodelista"/>
        <w:numPr>
          <w:ilvl w:val="0"/>
          <w:numId w:val="1"/>
        </w:numPr>
        <w:spacing w:line="360" w:lineRule="auto"/>
        <w:jc w:val="both"/>
      </w:pPr>
      <w:r w:rsidRPr="00FC49A2">
        <w:t>Oficios</w:t>
      </w:r>
    </w:p>
    <w:p w:rsidR="00FC49A2" w:rsidRPr="00FC49A2" w:rsidRDefault="00FC49A2" w:rsidP="00FC49A2">
      <w:pPr>
        <w:pStyle w:val="Prrafodelista"/>
        <w:numPr>
          <w:ilvl w:val="0"/>
          <w:numId w:val="1"/>
        </w:numPr>
        <w:spacing w:line="360" w:lineRule="auto"/>
        <w:jc w:val="both"/>
      </w:pPr>
      <w:r w:rsidRPr="00FC49A2">
        <w:t>Declaración juramentada</w:t>
      </w:r>
    </w:p>
    <w:p w:rsidR="00FC49A2" w:rsidRPr="00FC49A2" w:rsidRDefault="00FC49A2" w:rsidP="00FC49A2">
      <w:pPr>
        <w:pStyle w:val="Prrafodelista"/>
        <w:numPr>
          <w:ilvl w:val="0"/>
          <w:numId w:val="1"/>
        </w:numPr>
        <w:spacing w:line="360" w:lineRule="auto"/>
        <w:jc w:val="both"/>
      </w:pPr>
      <w:r w:rsidRPr="00FC49A2">
        <w:t xml:space="preserve">Registros civiles de defunción </w:t>
      </w:r>
    </w:p>
    <w:p w:rsidR="00FC49A2" w:rsidRPr="00FC49A2" w:rsidRDefault="00FC49A2" w:rsidP="00FC49A2">
      <w:pPr>
        <w:spacing w:line="360" w:lineRule="auto"/>
        <w:jc w:val="both"/>
        <w:rPr>
          <w:color w:val="auto"/>
          <w:sz w:val="24"/>
          <w:szCs w:val="24"/>
        </w:rPr>
      </w:pPr>
    </w:p>
    <w:p w:rsidR="00FC49A2" w:rsidRPr="00FC49A2" w:rsidRDefault="00FC49A2" w:rsidP="00FC49A2">
      <w:pPr>
        <w:pStyle w:val="Prrafodelista"/>
        <w:spacing w:line="360" w:lineRule="auto"/>
        <w:ind w:left="0"/>
        <w:jc w:val="both"/>
      </w:pPr>
      <w:r w:rsidRPr="00FC49A2">
        <w:rPr>
          <w:lang w:val="es-ES" w:eastAsia="es-ES"/>
        </w:rPr>
        <w:t>1.</w:t>
      </w:r>
      <w:r w:rsidRPr="00FC49A2">
        <w:t xml:space="preserve">Mediante auto de fecha 19 de </w:t>
      </w:r>
      <w:proofErr w:type="spellStart"/>
      <w:r w:rsidRPr="00FC49A2">
        <w:t>juliod</w:t>
      </w:r>
      <w:proofErr w:type="spellEnd"/>
      <w:r w:rsidRPr="00FC49A2">
        <w:t xml:space="preserve"> e 2017 se inadmitió la demanda de imposición de servidumbre legal de gasoducto y tránsito con ocupación permanente con fines de utilidad pública tránsito. Oportunamente la parte interesada presentó la subsanación de la demanda con los requisitos legales exigidos en los artículos 75 y </w:t>
      </w:r>
      <w:proofErr w:type="spellStart"/>
      <w:r w:rsidRPr="00FC49A2">
        <w:t>ss</w:t>
      </w:r>
      <w:proofErr w:type="spellEnd"/>
      <w:r w:rsidRPr="00FC49A2">
        <w:t xml:space="preserve"> del C. P. C., y los del Decreto 2580 de 1980, por tanto, este Juzgado procedió a su admisión, mediante providencia de fecha 30 de octubre de 2017, obrante a folios 42 y </w:t>
      </w:r>
      <w:proofErr w:type="gramStart"/>
      <w:r w:rsidRPr="00FC49A2">
        <w:t>43 ,</w:t>
      </w:r>
      <w:proofErr w:type="gramEnd"/>
      <w:r w:rsidRPr="00FC49A2">
        <w:t xml:space="preserve"> y dispuso darle el trámite del proceso especial, establecido en la norma mencionada. De otra parte se observa que con la demanda si se allego el título judicial correspondiente a la suma estimada como </w:t>
      </w:r>
      <w:proofErr w:type="gramStart"/>
      <w:r w:rsidRPr="00FC49A2">
        <w:t>indemnización  por</w:t>
      </w:r>
      <w:proofErr w:type="gramEnd"/>
      <w:r w:rsidRPr="00FC49A2">
        <w:t xml:space="preserve"> la imposición de la servidumbre. </w:t>
      </w:r>
    </w:p>
    <w:p w:rsidR="00FC49A2" w:rsidRPr="00FC49A2" w:rsidRDefault="00FC49A2" w:rsidP="00FC49A2">
      <w:pPr>
        <w:spacing w:line="360" w:lineRule="auto"/>
        <w:rPr>
          <w:color w:val="auto"/>
          <w:sz w:val="24"/>
          <w:szCs w:val="24"/>
          <w:lang w:val="es-ES"/>
        </w:rPr>
      </w:pPr>
    </w:p>
    <w:p w:rsidR="00FC49A2" w:rsidRPr="00FC49A2" w:rsidRDefault="00FC49A2" w:rsidP="00FC49A2">
      <w:pPr>
        <w:spacing w:line="360" w:lineRule="auto"/>
        <w:rPr>
          <w:color w:val="auto"/>
          <w:sz w:val="24"/>
          <w:szCs w:val="24"/>
          <w:lang w:val="es-ES"/>
        </w:rPr>
      </w:pPr>
      <w:r w:rsidRPr="00FC49A2">
        <w:rPr>
          <w:color w:val="auto"/>
          <w:sz w:val="24"/>
          <w:szCs w:val="24"/>
          <w:lang w:val="es-ES"/>
        </w:rPr>
        <w:t>2.El día 12 de febrero de 2018 se llevó a cabo la inspección judicial prevista en el numeral 4 del artículo 3 del decreto 2580 de 1985.</w:t>
      </w:r>
    </w:p>
    <w:p w:rsidR="00FC49A2" w:rsidRPr="00FC49A2" w:rsidRDefault="00FC49A2" w:rsidP="00FC49A2">
      <w:pPr>
        <w:spacing w:line="360" w:lineRule="auto"/>
        <w:rPr>
          <w:color w:val="auto"/>
          <w:sz w:val="24"/>
          <w:szCs w:val="24"/>
          <w:lang w:val="es-ES"/>
        </w:rPr>
      </w:pPr>
    </w:p>
    <w:p w:rsidR="00FC49A2" w:rsidRPr="00FC49A2" w:rsidRDefault="00FC49A2" w:rsidP="00FC49A2">
      <w:pPr>
        <w:spacing w:line="360" w:lineRule="auto"/>
        <w:rPr>
          <w:color w:val="auto"/>
          <w:sz w:val="24"/>
          <w:szCs w:val="24"/>
          <w:lang w:val="es-ES"/>
        </w:rPr>
      </w:pPr>
      <w:r w:rsidRPr="00FC49A2">
        <w:rPr>
          <w:color w:val="auto"/>
          <w:sz w:val="24"/>
          <w:szCs w:val="24"/>
          <w:lang w:val="es-ES"/>
        </w:rPr>
        <w:t xml:space="preserve">3.El </w:t>
      </w:r>
      <w:proofErr w:type="spellStart"/>
      <w:r w:rsidRPr="00FC49A2">
        <w:rPr>
          <w:color w:val="auto"/>
          <w:sz w:val="24"/>
          <w:szCs w:val="24"/>
          <w:lang w:val="es-ES"/>
        </w:rPr>
        <w:t>dia</w:t>
      </w:r>
      <w:proofErr w:type="spellEnd"/>
      <w:r w:rsidRPr="00FC49A2">
        <w:rPr>
          <w:color w:val="auto"/>
          <w:sz w:val="24"/>
          <w:szCs w:val="24"/>
          <w:lang w:val="es-ES"/>
        </w:rPr>
        <w:t xml:space="preserve"> 13 de marzo de 2018 se allega la inscripción de la </w:t>
      </w:r>
      <w:proofErr w:type="gramStart"/>
      <w:r w:rsidRPr="00FC49A2">
        <w:rPr>
          <w:color w:val="auto"/>
          <w:sz w:val="24"/>
          <w:szCs w:val="24"/>
          <w:lang w:val="es-ES"/>
        </w:rPr>
        <w:t>demanda  en</w:t>
      </w:r>
      <w:proofErr w:type="gramEnd"/>
      <w:r w:rsidRPr="00FC49A2">
        <w:rPr>
          <w:color w:val="auto"/>
          <w:sz w:val="24"/>
          <w:szCs w:val="24"/>
          <w:lang w:val="es-ES"/>
        </w:rPr>
        <w:t xml:space="preserve"> el folio de matrícula inmobiliaria objeto del presente proceso.</w:t>
      </w:r>
    </w:p>
    <w:p w:rsidR="00FC49A2" w:rsidRPr="00FC49A2" w:rsidRDefault="00FC49A2" w:rsidP="00FC49A2">
      <w:pPr>
        <w:spacing w:line="360" w:lineRule="auto"/>
        <w:rPr>
          <w:color w:val="auto"/>
          <w:sz w:val="24"/>
          <w:szCs w:val="24"/>
          <w:lang w:val="es-ES"/>
        </w:rPr>
      </w:pPr>
    </w:p>
    <w:p w:rsidR="00FC49A2" w:rsidRPr="00FC49A2" w:rsidRDefault="00FC49A2" w:rsidP="00FC49A2">
      <w:pPr>
        <w:pStyle w:val="Prrafodelista"/>
        <w:spacing w:line="360" w:lineRule="auto"/>
        <w:ind w:left="0"/>
        <w:jc w:val="both"/>
      </w:pPr>
      <w:r w:rsidRPr="00FC49A2">
        <w:t xml:space="preserve">4. Posteriormente y como quiera que se allegaron los registros civiles de defunción de los demandados CLEMENTINA SANCHEZ NEISA, JOSE ANTONIO SANCHEZ, TERESA SANCHEZ </w:t>
      </w:r>
      <w:proofErr w:type="gramStart"/>
      <w:r w:rsidRPr="00FC49A2">
        <w:t>NEISA,  ENGRACIA</w:t>
      </w:r>
      <w:proofErr w:type="gramEnd"/>
      <w:r w:rsidRPr="00FC49A2">
        <w:t xml:space="preserve"> MUNEVAR MONTAÑEZ , se </w:t>
      </w:r>
      <w:proofErr w:type="spellStart"/>
      <w:r w:rsidRPr="00FC49A2">
        <w:t>ordeno</w:t>
      </w:r>
      <w:proofErr w:type="spellEnd"/>
      <w:r w:rsidRPr="00FC49A2">
        <w:t xml:space="preserve"> el emplazamiento de los herederos indeterminados de los mismos y se surtió la notificación por intermedio de curadora ad </w:t>
      </w:r>
      <w:proofErr w:type="spellStart"/>
      <w:r w:rsidRPr="00FC49A2">
        <w:t>litem</w:t>
      </w:r>
      <w:proofErr w:type="spellEnd"/>
      <w:r w:rsidRPr="00FC49A2">
        <w:t>.</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Prrafodelista"/>
        <w:spacing w:line="360" w:lineRule="auto"/>
        <w:ind w:left="0"/>
        <w:jc w:val="both"/>
      </w:pPr>
      <w:r w:rsidRPr="00FC49A2">
        <w:t xml:space="preserve">5.En diligencia   de inspección judicial realizada el </w:t>
      </w:r>
      <w:proofErr w:type="gramStart"/>
      <w:r w:rsidRPr="00FC49A2">
        <w:t>día  12</w:t>
      </w:r>
      <w:proofErr w:type="gramEnd"/>
      <w:r w:rsidRPr="00FC49A2">
        <w:t xml:space="preserve"> de febrero </w:t>
      </w:r>
      <w:proofErr w:type="spellStart"/>
      <w:r w:rsidRPr="00FC49A2">
        <w:t>d e</w:t>
      </w:r>
      <w:proofErr w:type="spellEnd"/>
      <w:r w:rsidRPr="00FC49A2">
        <w:t xml:space="preserve"> 2018, se identificó el predio denominado “casa de teja  ”, ubicado en la vereda  tibaquira del municipio de Samacá, identificado  con el folio de matrícula  inmobiliaria  N° 070-61555 de la Oficina  de Registro de Instrumentos Públicos de Tunja y se impuso provisionalmente la servidumbre solicitada. En la referida diligencia se formuló el </w:t>
      </w:r>
      <w:r w:rsidRPr="00FC49A2">
        <w:lastRenderedPageBreak/>
        <w:t>cuestionario que debe absolver el perito y se le concedió el término de cinco (05) días al mismo para allegar el dictamen pericial.</w:t>
      </w:r>
    </w:p>
    <w:p w:rsidR="00FC49A2" w:rsidRPr="00FC49A2" w:rsidRDefault="00FC49A2" w:rsidP="00FC49A2">
      <w:pPr>
        <w:pStyle w:val="Prrafodelista"/>
        <w:spacing w:line="360" w:lineRule="auto"/>
      </w:pPr>
    </w:p>
    <w:p w:rsidR="00FC49A2" w:rsidRPr="00FC49A2" w:rsidRDefault="00FC49A2" w:rsidP="00FC49A2">
      <w:pPr>
        <w:pStyle w:val="Prrafodelista"/>
        <w:spacing w:line="360" w:lineRule="auto"/>
        <w:ind w:left="0"/>
        <w:jc w:val="both"/>
      </w:pPr>
      <w:r w:rsidRPr="00FC49A2">
        <w:t>7.</w:t>
      </w:r>
      <w:proofErr w:type="gramStart"/>
      <w:r w:rsidRPr="00FC49A2">
        <w:t>Posteriormente  el</w:t>
      </w:r>
      <w:proofErr w:type="gramEnd"/>
      <w:r w:rsidRPr="00FC49A2">
        <w:t xml:space="preserve"> señor  GUSTAVO GIL CASTIBLANCO, en su calidad de Auxiliar de la Justicia rindió el dictamen  pericial  de acuerdo al cuestionario  ordenado  en la diligencia realizada el 12 de febrero de 2018.</w:t>
      </w:r>
    </w:p>
    <w:p w:rsidR="00FC49A2" w:rsidRPr="00FC49A2" w:rsidRDefault="00FC49A2" w:rsidP="00FC49A2">
      <w:pPr>
        <w:pStyle w:val="Prrafodelista"/>
        <w:spacing w:line="360" w:lineRule="auto"/>
      </w:pPr>
    </w:p>
    <w:p w:rsidR="00FC49A2" w:rsidRPr="00FC49A2" w:rsidRDefault="00FC49A2" w:rsidP="00FC49A2">
      <w:pPr>
        <w:pStyle w:val="Prrafodelista"/>
        <w:spacing w:line="360" w:lineRule="auto"/>
        <w:ind w:left="0"/>
        <w:jc w:val="both"/>
      </w:pPr>
      <w:r w:rsidRPr="00FC49A2">
        <w:t xml:space="preserve">8.Una vez notificados todos los </w:t>
      </w:r>
      <w:proofErr w:type="gramStart"/>
      <w:r w:rsidRPr="00FC49A2">
        <w:t>demandados  se</w:t>
      </w:r>
      <w:proofErr w:type="gramEnd"/>
      <w:r w:rsidRPr="00FC49A2">
        <w:t xml:space="preserve"> ordenó correr traslado a las partes del dictamen pericial rendido por el auxiliar de la justicia GUSTAVO GIL CASTIBLANCO, del cual se corrió traslado del mismo sin embargo las partes  guardaron silencio por lo que se impartió su aprobación.</w:t>
      </w:r>
    </w:p>
    <w:p w:rsidR="00FC49A2" w:rsidRPr="00FC49A2" w:rsidRDefault="00FC49A2" w:rsidP="00FC49A2">
      <w:pPr>
        <w:pStyle w:val="Prrafodelista"/>
        <w:spacing w:line="360" w:lineRule="auto"/>
        <w:ind w:left="0"/>
        <w:jc w:val="both"/>
      </w:pPr>
    </w:p>
    <w:p w:rsidR="00FC49A2" w:rsidRPr="00FC49A2" w:rsidRDefault="00FC49A2" w:rsidP="00FC49A2">
      <w:pPr>
        <w:pStyle w:val="Prrafodelista"/>
        <w:spacing w:line="360" w:lineRule="auto"/>
        <w:ind w:left="0"/>
        <w:jc w:val="both"/>
      </w:pPr>
      <w:r w:rsidRPr="00FC49A2">
        <w:t xml:space="preserve">9.El día 07 de diciembre de 2021 fue allegado memorial por el </w:t>
      </w:r>
      <w:proofErr w:type="gramStart"/>
      <w:r w:rsidRPr="00FC49A2">
        <w:t>cual  el</w:t>
      </w:r>
      <w:proofErr w:type="gramEnd"/>
      <w:r w:rsidRPr="00FC49A2">
        <w:t xml:space="preserve"> señor JUAN DAVID RAMÓN ZULETA, reasume el poder a él conferido y renuncia al mismo</w:t>
      </w:r>
    </w:p>
    <w:p w:rsidR="00FC49A2" w:rsidRPr="00FC49A2" w:rsidRDefault="00FC49A2" w:rsidP="00FC49A2">
      <w:pPr>
        <w:pStyle w:val="Prrafodelista"/>
        <w:spacing w:line="360" w:lineRule="auto"/>
        <w:ind w:left="0"/>
        <w:jc w:val="both"/>
      </w:pPr>
      <w:r w:rsidRPr="00FC49A2">
        <w:t>10.posteriormente se allega poder y se reconoce personería al DR. ANDRES LOMBANO VANEGAS FORERO, como apoderado de la parte actora.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center"/>
        <w:rPr>
          <w:color w:val="auto"/>
          <w:sz w:val="24"/>
          <w:szCs w:val="24"/>
          <w:lang w:val="es-ES"/>
        </w:rPr>
      </w:pPr>
      <w:r w:rsidRPr="00FC49A2">
        <w:rPr>
          <w:b/>
          <w:color w:val="auto"/>
          <w:sz w:val="24"/>
          <w:szCs w:val="24"/>
          <w:lang w:val="es-ES"/>
        </w:rPr>
        <w:t xml:space="preserve">CONSIDERACIONES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Cuerpodetextoconsangra"/>
        <w:spacing w:line="360" w:lineRule="auto"/>
        <w:ind w:left="0" w:right="11"/>
        <w:jc w:val="both"/>
        <w:textAlignment w:val="baseline"/>
      </w:pPr>
      <w:r w:rsidRPr="00FC49A2">
        <w:t>Este Juzgado es competente para tomar la presente determinación, en razón a la ubicación del inmueble objeto de la imposición de servidumbre legal de gasoducto y tránsito con ocupación permanente con fines de utilidad pública.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Cuerpodetextoconsangra"/>
        <w:spacing w:line="360" w:lineRule="auto"/>
        <w:ind w:left="0" w:right="11"/>
        <w:jc w:val="both"/>
        <w:textAlignment w:val="baseline"/>
      </w:pPr>
      <w:r w:rsidRPr="00FC49A2">
        <w:t>Así mismo, se tiene que dentro del presente radicado se presentan los presupuestos procesales necesarios para dictar sentencia, como son la capacidad de las partes, capacidad procesal y demanda en forma. La parte demandante es una persona jurídica, que es sujeto de derechos y obligaciones y hábil para comparecer en juicio y la parte demandada está constituida por una (1) persona natural, mayor de edad, plenamente capaz, sujeto de derechos y obligaciones y hábil para comparecer en juicio.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La demanda fue presentada el 10 de marzo de </w:t>
      </w:r>
      <w:proofErr w:type="gramStart"/>
      <w:r w:rsidRPr="00FC49A2">
        <w:rPr>
          <w:color w:val="auto"/>
          <w:sz w:val="24"/>
          <w:szCs w:val="24"/>
          <w:lang w:val="es-ES"/>
        </w:rPr>
        <w:t>2017  y</w:t>
      </w:r>
      <w:proofErr w:type="gramEnd"/>
      <w:r w:rsidRPr="00FC49A2">
        <w:rPr>
          <w:color w:val="auto"/>
          <w:sz w:val="24"/>
          <w:szCs w:val="24"/>
          <w:lang w:val="es-ES"/>
        </w:rPr>
        <w:t xml:space="preserve"> posteriormente fue subsanada dentro del término legal, cumpliendo los requisitos exigidos por los artículos 75, 76 y 77 del C. de P.C. y los especiales establecidos por el Decreto 2580 del nueve (9) de septiembre de mil novecientos ochenta y cinco (1985), por tal razón fue admitida, cumpliéndose con el presupuesto procesal de “Demanda en forma”.</w:t>
      </w:r>
    </w:p>
    <w:p w:rsidR="00FC49A2" w:rsidRPr="00FC49A2" w:rsidRDefault="00FC49A2" w:rsidP="00FC49A2">
      <w:pPr>
        <w:pStyle w:val="Cuerpodetextoconsangra"/>
        <w:spacing w:line="360" w:lineRule="auto"/>
        <w:ind w:left="0" w:right="11"/>
        <w:jc w:val="both"/>
        <w:textAlignment w:val="baseline"/>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lastRenderedPageBreak/>
        <w:t>Los documentos que fueron allegados con la demanda son públicos, no han sido tachados de falsos, por lo que se presumen auténticos conforme lo establece el art. 252 del C.P.C. y por consiguiente constituyen base idónea para desatar la instancia.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Así las cosas, en vista de que se presentan los presupuestos procesales y no existiendo causal alguna de nulidad que invalide lo actuado, se procede de conformidad.</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En el presente caso se tiene que la empresa Transportadora de Gas Internacional S.A. E.S.P. – TGI S.A. E.S.P., mediante apoderado judicial, presentó demanda  con la cual pretende que se imponga a su favor como cuerpo cierto servidumbre legal de gasoducto y tránsito con ocupación permanente con fines de utilidad pública sobre el predio denominado “CASA DE TEJA”,  ubicado en la  vereda TIBAQUIRA de la jurisdicción del municipio de Samacá, identificado con el  folio de matrícula  inmobiliaria  N° 070-61555 de la Oficina de Registro de Instrumentos Públicos de Tunja y respecto de  una franja de  terreno de cuarenta y un  metros  (41 </w:t>
      </w:r>
      <w:proofErr w:type="spellStart"/>
      <w:r w:rsidRPr="00FC49A2">
        <w:rPr>
          <w:color w:val="auto"/>
          <w:sz w:val="24"/>
          <w:szCs w:val="24"/>
          <w:lang w:val="es-ES"/>
        </w:rPr>
        <w:t>mts</w:t>
      </w:r>
      <w:proofErr w:type="spellEnd"/>
      <w:r w:rsidRPr="00FC49A2">
        <w:rPr>
          <w:color w:val="auto"/>
          <w:sz w:val="24"/>
          <w:szCs w:val="24"/>
          <w:lang w:val="es-ES"/>
        </w:rPr>
        <w:t xml:space="preserve">) de largo  y 16 metros (16 </w:t>
      </w:r>
      <w:proofErr w:type="spellStart"/>
      <w:r w:rsidRPr="00FC49A2">
        <w:rPr>
          <w:color w:val="auto"/>
          <w:sz w:val="24"/>
          <w:szCs w:val="24"/>
          <w:lang w:val="es-ES"/>
        </w:rPr>
        <w:t>mts</w:t>
      </w:r>
      <w:proofErr w:type="spellEnd"/>
      <w:r w:rsidRPr="00FC49A2">
        <w:rPr>
          <w:color w:val="auto"/>
          <w:sz w:val="24"/>
          <w:szCs w:val="24"/>
          <w:lang w:val="es-ES"/>
        </w:rPr>
        <w:t xml:space="preserve">) de ancho para un total de 656m2, respecto del cual aparece como titular de derechos reales a ninguna persona como titular </w:t>
      </w:r>
      <w:proofErr w:type="spellStart"/>
      <w:r w:rsidRPr="00FC49A2">
        <w:rPr>
          <w:color w:val="auto"/>
          <w:sz w:val="24"/>
          <w:szCs w:val="24"/>
          <w:lang w:val="es-ES"/>
        </w:rPr>
        <w:t>d e</w:t>
      </w:r>
      <w:proofErr w:type="spellEnd"/>
      <w:r w:rsidRPr="00FC49A2">
        <w:rPr>
          <w:color w:val="auto"/>
          <w:sz w:val="24"/>
          <w:szCs w:val="24"/>
          <w:lang w:val="es-ES"/>
        </w:rPr>
        <w:t xml:space="preserve"> derechos reales sin embargo en el certificado de tradición aparecen como poseedores en falsa tradición los señores CLEMENTINA SANCHEZ NEISA, JESUS SANCHEZ NEISA, JOSE ANTONIO SANCHEZ, JOSE DEL CARMNE SANCHEZ NEISA, TERESA SANCHEZ NEISA,  ENGRACIA MUNEVAR MONTAÑEZ.</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En el presente caso, resulta imprescindible para el despacho judicial abordar dos temas específicos: a) Si hay lugar o no a la imposición de la servidumbre legal de tránsito y transporte de gas sobre el predio de propiedad de los demandados, tal como lo solicita la empresa demandante, y b) Si la suma estimada como indemnización por la parte actora, corresponde a una tasación real y justa por los perjuicios que con el gravamen se causa a los demandados.</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Inicialmente, debe precisar este despacho que el proceso se encuentra regulado por un trámite procesal especial consagrado en la Ley 142 de 1994, Ley 56 de 1981 y su Decreto reglamentario No. 2580 de 1985.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Así pues, del análisis de las disposiciones que regulan el procedimiento para la imposición de servidumbres públicas de conducción de gas, se puede afirmar que se trata de un procedimiento expedito, destinado a garantizar que en el menor tiempo posible se ejecuten obras destinadas a la prestación de un servicio público, al punto que </w:t>
      </w:r>
      <w:r w:rsidRPr="00FC49A2">
        <w:rPr>
          <w:color w:val="auto"/>
          <w:sz w:val="24"/>
          <w:szCs w:val="24"/>
          <w:lang w:val="es-ES"/>
        </w:rPr>
        <w:lastRenderedPageBreak/>
        <w:t>faculta al juez de conocimiento para que ordene preliminarmente la imposición del gravamen al inmueble. Del mismo modo, es un proceso judicial interesado en la asunción por parte del Estado de los daños que se causen al propietario o poseedor del previo sirviente, puesto que impone a la entidad demandante la obligación de pagar un estimativo de los perjuicios junto con la presentación de la demanda y a reajustar esa suma en caso que la sentencia declare un monto mayor. Adicionalmente, la normatividad en comento faculta al propietario o poseedor del bien sirviente a que se oponga a la liquidación propuesta en la demanda, caso en el cual se ordenará su cálculo por parte de peritos nombrados para el efecto.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Así las cosas, no hay duda sobre el especial carácter que revisten los procesos que imponen gravámenes a la propiedad privada, con el fin de permitir la ejecución de obras o proyectos relacionados con la protección del interés general. En efecto, la imposición de servidumbres públicas de conducción de gas, se encuentra claramente prevista dentro de la función social de la propiedad en los términos del artículo 58 de la Constitución Política.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Resulta entonces claro que las limitaciones derivadas de la constitución de servidumbres tienen un objeto definido: permitir la adecuada prestación del servicio público de distribución de gas o energía eléctrica, de acuerdo con los proyectos que con ese propósito diseñan las entidades encargadas del desarrollo de su objeto.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Sobre este preciso aspecto, resulta pertinente traer a colación un aparte jurisprudencial de la Honorable Corte Constitucional,</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ind w:firstLine="708"/>
        <w:jc w:val="both"/>
        <w:rPr>
          <w:i/>
          <w:color w:val="auto"/>
          <w:sz w:val="24"/>
          <w:szCs w:val="24"/>
          <w:lang w:val="es-ES"/>
        </w:rPr>
      </w:pPr>
      <w:r w:rsidRPr="00FC49A2">
        <w:rPr>
          <w:color w:val="auto"/>
          <w:sz w:val="24"/>
          <w:szCs w:val="24"/>
          <w:lang w:val="es-ES"/>
        </w:rPr>
        <w:t>“</w:t>
      </w:r>
      <w:r w:rsidRPr="00FC49A2">
        <w:rPr>
          <w:i/>
          <w:color w:val="auto"/>
          <w:sz w:val="24"/>
          <w:szCs w:val="24"/>
          <w:lang w:val="es-ES"/>
        </w:rPr>
        <w:t xml:space="preserve">A partir de lo dispuesto en el artículo 58 C.P, la Corte ha establecido, con matices, su carácter de derecho fundamental bajo las particulares condiciones que ella misma ha señalado”, y reconocido la especial protección que le ha otorgado la Constitución a este Derecho y a los demás derechos adquiridos con arreglo de las leyes civiles, dentro del conjunto de artículos constitucionales que regulan algún aspecto de la propiedad. Así mismo, la jurisprudencia de esta Corporación ha  distinguido los elementos que contiene el artículo 58  de la carta: I) la garantía de la propiedad privada y los demás derechos adquiridos con arreglo a las leyes civiles; II) la protección  y promoción de formas asociativas y solidarias de propiedad; III) el reconocimiento del carácter limitable de la propiedad; IV) las condiciones de prevalencia del interés público o social sobre el interés privado; V) el señalamiento de su función social y ecológica; y VI) las modalidades y los requisitos de la expropiación.   </w:t>
      </w:r>
      <w:r w:rsidRPr="00FC49A2">
        <w:rPr>
          <w:i/>
          <w:color w:val="auto"/>
          <w:sz w:val="24"/>
          <w:szCs w:val="24"/>
          <w:lang w:val="es-ES"/>
        </w:rPr>
        <w:lastRenderedPageBreak/>
        <w:t>Los contenidos normativos inferidos del texto del Artículo 58. C.P, contraen, en criterio de la Corte, consecuencias jurídicas con efectos concretos en el proceso judicial de imposición de servidumbres públicas. En primer lugar, los conflictos entre el interés público representado en este caso en la necesidad de garantizar la adecuada prestación de un servicio público y los intereses particulares del propietario o poseedor del predio, deben resolverse a favor de aquel, merced del carácter de utilidad pública que el legislador le ha conferido a los planes, proyectos y ejecución de obras destinadas a dicha trasmisión (Ley 56/81, Art. 16 y Ley 142 /94, Art.  56). De otro lado una vez definida la necesidad de satisfacer ese interés social, los derechos de los particulares serán resarcidos a través de indemnización, la cual se fijará consultando los intereses de la comunidad y el afectado. Las reglas dispuestas por el Articulo 58 Superior, bajo esta perspectiva, restringen las pretensiones del propietario o poseedor del bien sirviente a la obtención de una indemnización justa por los daños que se causen como consecuencia de la imposición de la servidumbre pública, monto que deberá compensar los perjuicios relacionados tanto con la limitación física de la propiedad como con la restricción a la explotación económica del predio, en los casos que tal desmejora se acredite.”</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Entonces, descendiendo al caso concreto, resulta necesario señalar que la entidad demandante Transportadora de Gas Internacional S.A. E.S.P - TGI S.A. E.S.P, es una empresa que dentro de su objeto tiene como finalidad el transporte de gas combustible, el cual es un servicio público domiciliario, definido como tal por el artículo 14 numeral 28 de la Ley 142 de 1994 y la Resolución CREG-057 del 30 de junio de 1996, ya que éstas señalan:</w:t>
      </w:r>
    </w:p>
    <w:p w:rsidR="00FC49A2" w:rsidRPr="00FC49A2" w:rsidRDefault="00FC49A2" w:rsidP="00FC49A2">
      <w:pPr>
        <w:spacing w:line="360" w:lineRule="auto"/>
        <w:jc w:val="both"/>
        <w:rPr>
          <w:rStyle w:val="apple-style-span"/>
          <w:rFonts w:eastAsiaTheme="majorEastAsia"/>
          <w:b/>
          <w:bCs/>
          <w:i/>
          <w:color w:val="auto"/>
          <w:sz w:val="24"/>
          <w:szCs w:val="24"/>
          <w:lang w:val="es-ES"/>
        </w:rPr>
      </w:pPr>
    </w:p>
    <w:p w:rsidR="00FC49A2" w:rsidRPr="00FC49A2" w:rsidRDefault="00FC49A2" w:rsidP="00FC49A2">
      <w:pPr>
        <w:spacing w:line="360" w:lineRule="auto"/>
        <w:jc w:val="both"/>
        <w:rPr>
          <w:rStyle w:val="apple-style-span"/>
          <w:rFonts w:eastAsiaTheme="majorEastAsia"/>
          <w:b/>
          <w:bCs/>
          <w:i/>
          <w:color w:val="auto"/>
          <w:sz w:val="24"/>
          <w:szCs w:val="24"/>
          <w:lang w:val="es-ES"/>
        </w:rPr>
      </w:pPr>
      <w:r w:rsidRPr="00FC49A2">
        <w:rPr>
          <w:rStyle w:val="apple-style-span"/>
          <w:rFonts w:eastAsiaTheme="majorEastAsia"/>
          <w:b/>
          <w:bCs/>
          <w:i/>
          <w:color w:val="auto"/>
          <w:sz w:val="24"/>
          <w:szCs w:val="24"/>
          <w:lang w:val="es-ES"/>
        </w:rPr>
        <w:t>LEY 142 DE 1994</w:t>
      </w:r>
    </w:p>
    <w:p w:rsidR="00FC49A2" w:rsidRPr="00FC49A2" w:rsidRDefault="00FC49A2" w:rsidP="00FC49A2">
      <w:pPr>
        <w:spacing w:line="360" w:lineRule="auto"/>
        <w:jc w:val="both"/>
        <w:rPr>
          <w:rStyle w:val="apple-style-span"/>
          <w:rFonts w:eastAsiaTheme="majorEastAsia"/>
          <w:b/>
          <w:bCs/>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rStyle w:val="apple-style-span"/>
          <w:rFonts w:eastAsiaTheme="majorEastAsia"/>
          <w:b/>
          <w:bCs/>
          <w:i/>
          <w:color w:val="auto"/>
          <w:sz w:val="24"/>
          <w:szCs w:val="24"/>
          <w:lang w:val="es-ES"/>
        </w:rPr>
        <w:t>“Artículo 14</w:t>
      </w:r>
      <w:r w:rsidRPr="00FC49A2">
        <w:rPr>
          <w:rStyle w:val="apple-style-span"/>
          <w:rFonts w:eastAsiaTheme="majorEastAsia"/>
          <w:i/>
          <w:color w:val="auto"/>
          <w:sz w:val="24"/>
          <w:szCs w:val="24"/>
          <w:lang w:val="es-ES"/>
        </w:rPr>
        <w:t>. Definiciones. Para interpretar y aplicar esta Ley se tendrán en cuenta las siguientes definiciones:</w:t>
      </w:r>
    </w:p>
    <w:p w:rsidR="00FC49A2" w:rsidRPr="00FC49A2" w:rsidRDefault="00FC49A2" w:rsidP="00FC49A2">
      <w:pPr>
        <w:spacing w:line="360" w:lineRule="auto"/>
        <w:jc w:val="both"/>
        <w:rPr>
          <w:i/>
          <w:color w:val="auto"/>
          <w:sz w:val="24"/>
          <w:szCs w:val="24"/>
          <w:lang w:val="es-ES"/>
        </w:rPr>
      </w:pPr>
      <w:r w:rsidRPr="00FC49A2">
        <w:rPr>
          <w:i/>
          <w:color w:val="auto"/>
          <w:sz w:val="24"/>
          <w:szCs w:val="24"/>
          <w:lang w:val="es-ES"/>
        </w:rPr>
        <w:t>(…)</w:t>
      </w:r>
    </w:p>
    <w:p w:rsidR="00FC49A2" w:rsidRPr="00FC49A2" w:rsidRDefault="00FC49A2" w:rsidP="00FC49A2">
      <w:pPr>
        <w:spacing w:line="360" w:lineRule="auto"/>
        <w:jc w:val="both"/>
        <w:rPr>
          <w:i/>
          <w:color w:val="auto"/>
          <w:sz w:val="24"/>
          <w:szCs w:val="24"/>
          <w:lang w:val="es-ES"/>
        </w:rPr>
      </w:pPr>
      <w:r w:rsidRPr="00FC49A2">
        <w:rPr>
          <w:rStyle w:val="apple-style-span"/>
          <w:rFonts w:eastAsiaTheme="majorEastAsia"/>
          <w:i/>
          <w:color w:val="auto"/>
          <w:sz w:val="24"/>
          <w:szCs w:val="24"/>
          <w:lang w:val="es-ES"/>
        </w:rPr>
        <w:t>14.28. Servicio público domiciliario de gas combustible. Es el conjunto de actividades ordenadas a la distribución de gas combustible, por tubería u otro medio, desde un sitio de acopio de grandes volúmenes o desde un gasoducto central hasta la instalación de un consumidor final, incluyendo su conexión y medición. También se aplicará esta Ley a las actividades complementarias de comercialización desde la producción y transporte de gas por un gasoducto principal, o por otros medios, desde el sitio de generación hasta aquel en donde se conecte a una red secundaria.”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b/>
          <w:i/>
          <w:color w:val="auto"/>
          <w:sz w:val="24"/>
          <w:szCs w:val="24"/>
          <w:lang w:val="es-ES"/>
        </w:rPr>
      </w:pPr>
      <w:r w:rsidRPr="00FC49A2">
        <w:rPr>
          <w:b/>
          <w:i/>
          <w:color w:val="auto"/>
          <w:sz w:val="24"/>
          <w:szCs w:val="24"/>
          <w:lang w:val="es-ES"/>
        </w:rPr>
        <w:t>RESOLUCIÓN CREG-057 DEL 30 DE JUNIO DE 1996</w:t>
      </w:r>
    </w:p>
    <w:p w:rsidR="00FC49A2" w:rsidRPr="00FC49A2" w:rsidRDefault="00FC49A2" w:rsidP="00FC49A2">
      <w:pPr>
        <w:spacing w:line="360" w:lineRule="auto"/>
        <w:jc w:val="both"/>
        <w:rPr>
          <w:b/>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b/>
          <w:bCs/>
          <w:i/>
          <w:color w:val="auto"/>
          <w:sz w:val="24"/>
          <w:szCs w:val="24"/>
          <w:lang w:val="es-ES"/>
        </w:rPr>
        <w:t>“Artículo 1o. DEFINICIONES.</w:t>
      </w:r>
      <w:r w:rsidRPr="00FC49A2">
        <w:rPr>
          <w:rStyle w:val="apple-converted-space"/>
          <w:rFonts w:eastAsiaTheme="majorEastAsia"/>
          <w:b/>
          <w:bCs/>
          <w:i/>
          <w:color w:val="auto"/>
          <w:sz w:val="24"/>
          <w:szCs w:val="24"/>
          <w:lang w:val="es-ES"/>
        </w:rPr>
        <w:t> </w:t>
      </w:r>
      <w:r w:rsidRPr="00FC49A2">
        <w:rPr>
          <w:i/>
          <w:color w:val="auto"/>
          <w:sz w:val="24"/>
          <w:szCs w:val="24"/>
          <w:lang w:val="es-ES"/>
        </w:rPr>
        <w:t>Para efectos de la presente resolución y, en general, para interpretar las disposiciones sobre el servicio público de gas combustible por redes de tubería y sus actividades complementarias, incluyendo producción, transporte, comercialización y distribución, se tendrán en cuenta las siguientes definiciones, además de la contenidas en la ley 142 de 1994.</w:t>
      </w:r>
    </w:p>
    <w:p w:rsidR="00FC49A2" w:rsidRPr="00FC49A2" w:rsidRDefault="00FC49A2" w:rsidP="00FC49A2">
      <w:pPr>
        <w:spacing w:line="360" w:lineRule="auto"/>
        <w:jc w:val="both"/>
        <w:rPr>
          <w:b/>
          <w:bCs/>
          <w:color w:val="auto"/>
          <w:sz w:val="24"/>
          <w:szCs w:val="24"/>
          <w:lang w:val="es-ES"/>
        </w:rPr>
      </w:pPr>
      <w:r w:rsidRPr="00FC49A2">
        <w:rPr>
          <w:b/>
          <w:bCs/>
          <w:color w:val="auto"/>
          <w:sz w:val="24"/>
          <w:szCs w:val="24"/>
          <w:lang w:val="es-ES"/>
        </w:rPr>
        <w:t>(…)</w:t>
      </w:r>
    </w:p>
    <w:p w:rsidR="00FC49A2" w:rsidRPr="00FC49A2" w:rsidRDefault="00FC49A2" w:rsidP="00FC49A2">
      <w:pPr>
        <w:spacing w:line="360" w:lineRule="auto"/>
        <w:jc w:val="both"/>
        <w:rPr>
          <w:i/>
          <w:color w:val="auto"/>
          <w:sz w:val="24"/>
          <w:szCs w:val="24"/>
          <w:lang w:val="es-ES"/>
        </w:rPr>
      </w:pPr>
      <w:r w:rsidRPr="00FC49A2">
        <w:rPr>
          <w:b/>
          <w:bCs/>
          <w:i/>
          <w:color w:val="auto"/>
          <w:sz w:val="24"/>
          <w:szCs w:val="24"/>
          <w:lang w:val="es-ES"/>
        </w:rPr>
        <w:t>SERVICIO PUBLICO DE GAS COMBUSTIBLE POR REDES DE TUBERÍA:</w:t>
      </w:r>
      <w:r w:rsidRPr="00FC49A2">
        <w:rPr>
          <w:rStyle w:val="apple-converted-space"/>
          <w:rFonts w:eastAsiaTheme="majorEastAsia"/>
          <w:i/>
          <w:color w:val="auto"/>
          <w:sz w:val="24"/>
          <w:szCs w:val="24"/>
          <w:lang w:val="es-ES"/>
        </w:rPr>
        <w:t> </w:t>
      </w:r>
      <w:r w:rsidRPr="00FC49A2">
        <w:rPr>
          <w:i/>
          <w:color w:val="auto"/>
          <w:sz w:val="24"/>
          <w:szCs w:val="24"/>
          <w:lang w:val="es-ES"/>
        </w:rPr>
        <w:t>Comprende el servicio público domiciliario de distribución por redes de tubería y las actividades complementarias de producción, comercialización y transporte de gas combustible por redes de tubería, de acuerdo con los numerales 14.20 y 14.28 y el título I de la ley 142 de 1994.”</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Igualmente, es preciso señalar de acuerdo con lo manifestado por la parte demandante en el libelo </w:t>
      </w:r>
      <w:proofErr w:type="spellStart"/>
      <w:r w:rsidRPr="00FC49A2">
        <w:rPr>
          <w:color w:val="auto"/>
          <w:sz w:val="24"/>
          <w:szCs w:val="24"/>
          <w:lang w:val="es-ES"/>
        </w:rPr>
        <w:t>incoatorio</w:t>
      </w:r>
      <w:proofErr w:type="spellEnd"/>
      <w:r w:rsidRPr="00FC49A2">
        <w:rPr>
          <w:color w:val="auto"/>
          <w:sz w:val="24"/>
          <w:szCs w:val="24"/>
          <w:lang w:val="es-ES"/>
        </w:rPr>
        <w:t xml:space="preserve"> que el predio denominado “CASA DE TEJA”,  ubicado en la  vereda TIBAQUIRA de la jurisdicción del municipio de Samacá, identificado con el  folio de matrícula  inmobiliaria  N° 070-61555 de la Oficina de Registro de Instrumentos Públicos de Tunja, se encuentra en la ruta del Gasoducto–  </w:t>
      </w:r>
      <w:proofErr w:type="spellStart"/>
      <w:r w:rsidRPr="00FC49A2">
        <w:rPr>
          <w:color w:val="auto"/>
          <w:sz w:val="24"/>
          <w:szCs w:val="24"/>
          <w:lang w:val="es-ES"/>
        </w:rPr>
        <w:t>cusiana</w:t>
      </w:r>
      <w:proofErr w:type="spellEnd"/>
      <w:r w:rsidRPr="00FC49A2">
        <w:rPr>
          <w:color w:val="auto"/>
          <w:sz w:val="24"/>
          <w:szCs w:val="24"/>
          <w:lang w:val="es-ES"/>
        </w:rPr>
        <w:t>- porvenir-La Belleza, que es propiedad de la empresa Transportadora de Gas Internacional S.A. E.S.P – TGI S.A. E.S.P.</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Así pues, queda clara la declaratoria de utilidad pública del proyecto </w:t>
      </w:r>
      <w:proofErr w:type="gramStart"/>
      <w:r w:rsidRPr="00FC49A2">
        <w:rPr>
          <w:color w:val="auto"/>
          <w:sz w:val="24"/>
          <w:szCs w:val="24"/>
          <w:lang w:val="es-ES"/>
        </w:rPr>
        <w:t>y</w:t>
      </w:r>
      <w:proofErr w:type="gramEnd"/>
      <w:r w:rsidRPr="00FC49A2">
        <w:rPr>
          <w:color w:val="auto"/>
          <w:sz w:val="24"/>
          <w:szCs w:val="24"/>
          <w:lang w:val="es-ES"/>
        </w:rPr>
        <w:t xml:space="preserve"> en consecuencia, el propietario del inmueble afectado sólo podrá exigir que se reconozca la indemnización de los perjuicios que se causen con la imposición del gravamen como tal, por ser éste de naturaleza legal.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Resuelto entonces el primer aspecto y en vista de que el propietario por mandato legal no tiene atribución de resistirse a su imposición porque la necesidad de las obras resulta indiscutible, se hace necesario en desarrollo del principio de equidad y del equilibrio económico que debe perdurar frente a todas las relaciones jurídicas de su estirpe, determinar la indemnización que debe recibir como compensación o retribución de la imposición patrimonial que sin voluntad ha tenido que padecer.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En cuanto a la indemnización, es preciso indicar que ésta debe abarcar la intensidad y cabalidad de la afectación del predio, pero sin que dentro de su concepto y contenido </w:t>
      </w:r>
      <w:r w:rsidRPr="00FC49A2">
        <w:rPr>
          <w:color w:val="auto"/>
          <w:sz w:val="24"/>
          <w:szCs w:val="24"/>
          <w:lang w:val="es-ES"/>
        </w:rPr>
        <w:lastRenderedPageBreak/>
        <w:t>pueda traspasarse y adentrarse en la esfera del enriquecimiento sin causa; solamente así concebida la indemnización se cumple con el sentido de la ley, que reiteramos que no es otro que el de hallar la perduración del equilibrio económico en cabeza del titular del bien afectado con la servidumbre.</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Ahora, dentro de ese concepto de restitución equitativa y completa del perjuicio, para este despacho es predicado esencial que debe tener un límite máximo representado por el valor del terreno afectado, entendido este como el suelo y las obras o plantaciones adheridas al mismo. Es decir, dentro del concepto del perjuicio para efectos de establecer la indemnización pertinente debe existir un extremo en el valor, que debe ser el que representa comercialmente la zona del dueño afectada con las mejoras en él plantadas, atendiendo sus circunstancias específicas en torno a la circulación de bienes en el comercio. En materia de indemnización de perjuicios causados con la imposición de una servidumbre lo que interesa es determinar el valor comercial, que es real, de la zona afectada y la disminución de ese valor por la afectación, a la vez que la pérdida del valor integral del inmueble por virtud de la misma.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Dicho de otra manera, lo que ha de cuantificarse es la depreciación de la zona de la servidumbre del resto del inmueble, para así concluir en el perjuicio real y objetivo que padece su propietario.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En el caso sub júdice, se tiene que la empresa Transportadora de Gas Internacional S.A. E.S.P. – TGI  S.A. E.S.P. en el escrito de demanda señaló que la franja de terreno del predio denominado “CASA DE TEJA”,  ubicado en la  vereda TIBAQUIRA de la jurisdicción del municipio de Samacá, identificado con el  folio de matrícula  inmobiliaria  N° 070-61555 de la Oficina de Registro de Instrumentos Públicos de Tunja, afectada con la imposición de la servidumbre legal de gasoducto y tránsito con ocupación permanente con fines de utilidad pública, la franja de  terreno afectada es  de cuarenta y un  metros  (41 </w:t>
      </w:r>
      <w:proofErr w:type="spellStart"/>
      <w:r w:rsidRPr="00FC49A2">
        <w:rPr>
          <w:color w:val="auto"/>
          <w:sz w:val="24"/>
          <w:szCs w:val="24"/>
          <w:lang w:val="es-ES"/>
        </w:rPr>
        <w:t>mts</w:t>
      </w:r>
      <w:proofErr w:type="spellEnd"/>
      <w:r w:rsidRPr="00FC49A2">
        <w:rPr>
          <w:color w:val="auto"/>
          <w:sz w:val="24"/>
          <w:szCs w:val="24"/>
          <w:lang w:val="es-ES"/>
        </w:rPr>
        <w:t xml:space="preserve">) de largo  y 16 metros (16 </w:t>
      </w:r>
      <w:proofErr w:type="spellStart"/>
      <w:r w:rsidRPr="00FC49A2">
        <w:rPr>
          <w:color w:val="auto"/>
          <w:sz w:val="24"/>
          <w:szCs w:val="24"/>
          <w:lang w:val="es-ES"/>
        </w:rPr>
        <w:t>mts</w:t>
      </w:r>
      <w:proofErr w:type="spellEnd"/>
      <w:r w:rsidRPr="00FC49A2">
        <w:rPr>
          <w:color w:val="auto"/>
          <w:sz w:val="24"/>
          <w:szCs w:val="24"/>
          <w:lang w:val="es-ES"/>
        </w:rPr>
        <w:t>) de ancho para un total de 656m2.</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Así mismo, se tiene que en la inspección judicial realizada el día 12 de febrero de 2018, al predio objeto de la servidumbre se pudo establecer que la zona afectada con el gravamen, correspondía a un área de 656 m2</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Igualmente, se tiene que pese a que ninguno de los demandados dentro del término legal concedido por el numeral 5 del artículo 3 del Decreto 2580 de 1985, manifestó </w:t>
      </w:r>
      <w:r w:rsidRPr="00FC49A2">
        <w:rPr>
          <w:color w:val="auto"/>
          <w:sz w:val="24"/>
          <w:szCs w:val="24"/>
          <w:lang w:val="es-ES"/>
        </w:rPr>
        <w:lastRenderedPageBreak/>
        <w:t xml:space="preserve">estar en desacuerdo con el estimativo de los perjuicios realizado por la parte actora, este operador judicial haciendo uso de los poderes que ostenta en materia probatoria y con el fin de establecer en forma real los perjuicios que ha debido soportar la parte demandada, decretó la realización de un dictamen pericial.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Con el dictamen pericial se pudo establecer en primer lugar, que el área total de terreno del predio denominado </w:t>
      </w:r>
      <w:proofErr w:type="spellStart"/>
      <w:r w:rsidRPr="00FC49A2">
        <w:rPr>
          <w:color w:val="auto"/>
          <w:sz w:val="24"/>
          <w:szCs w:val="24"/>
          <w:lang w:val="es-ES"/>
        </w:rPr>
        <w:t>denominado</w:t>
      </w:r>
      <w:proofErr w:type="spellEnd"/>
      <w:r w:rsidRPr="00FC49A2">
        <w:rPr>
          <w:color w:val="auto"/>
          <w:sz w:val="24"/>
          <w:szCs w:val="24"/>
          <w:lang w:val="es-ES"/>
        </w:rPr>
        <w:t xml:space="preserve"> “CASA DE TEJA”,  ubicado en la  vereda TIBAQUIRA de la jurisdicción del municipio de Samacá, identificado con el  folio de matrícula  inmobiliaria  N° 070-61555 de la Oficina de Registro de Instrumentos Públicos de Tunja, afectada con la imposición de la servidumbre legal de gasoducto y tránsito con ocupación permanente con fines de utilidad pública, corresponde a   una franja de  terreno de cuarenta y un  metros  (41 </w:t>
      </w:r>
      <w:proofErr w:type="spellStart"/>
      <w:r w:rsidRPr="00FC49A2">
        <w:rPr>
          <w:color w:val="auto"/>
          <w:sz w:val="24"/>
          <w:szCs w:val="24"/>
          <w:lang w:val="es-ES"/>
        </w:rPr>
        <w:t>mts</w:t>
      </w:r>
      <w:proofErr w:type="spellEnd"/>
      <w:r w:rsidRPr="00FC49A2">
        <w:rPr>
          <w:color w:val="auto"/>
          <w:sz w:val="24"/>
          <w:szCs w:val="24"/>
          <w:lang w:val="es-ES"/>
        </w:rPr>
        <w:t xml:space="preserve">) de largo  y 16 metros (16 </w:t>
      </w:r>
      <w:proofErr w:type="spellStart"/>
      <w:r w:rsidRPr="00FC49A2">
        <w:rPr>
          <w:color w:val="auto"/>
          <w:sz w:val="24"/>
          <w:szCs w:val="24"/>
          <w:lang w:val="es-ES"/>
        </w:rPr>
        <w:t>mts</w:t>
      </w:r>
      <w:proofErr w:type="spellEnd"/>
      <w:r w:rsidRPr="00FC49A2">
        <w:rPr>
          <w:color w:val="auto"/>
          <w:sz w:val="24"/>
          <w:szCs w:val="24"/>
          <w:lang w:val="es-ES"/>
        </w:rPr>
        <w:t>) de ancho para un total de 656m2.</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En segundo lugar, con el dictamen pericial se pudo establecer que el predio “las </w:t>
      </w:r>
      <w:proofErr w:type="gramStart"/>
      <w:r w:rsidRPr="00FC49A2">
        <w:rPr>
          <w:color w:val="auto"/>
          <w:sz w:val="24"/>
          <w:szCs w:val="24"/>
          <w:lang w:val="es-ES"/>
        </w:rPr>
        <w:t>acacias ”</w:t>
      </w:r>
      <w:proofErr w:type="gramEnd"/>
      <w:r w:rsidRPr="00FC49A2">
        <w:rPr>
          <w:color w:val="auto"/>
          <w:sz w:val="24"/>
          <w:szCs w:val="24"/>
          <w:lang w:val="es-ES"/>
        </w:rPr>
        <w:t xml:space="preserve"> tiene un valor comercial de $6.860.000 y que en consecuencia, los perjuicios ocasionados por la imposición de la servidumbre legal de gasoducto y tránsito con ocupación permanente con fines de utilidad pública, ascienden a la suma de la franja de 656 metros cuadrados $615.000</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De otra parte se tiene que el dictamen pericial las </w:t>
      </w:r>
      <w:proofErr w:type="gramStart"/>
      <w:r w:rsidRPr="00FC49A2">
        <w:rPr>
          <w:color w:val="auto"/>
          <w:sz w:val="24"/>
          <w:szCs w:val="24"/>
          <w:lang w:val="es-ES"/>
        </w:rPr>
        <w:t>partes  guardaron</w:t>
      </w:r>
      <w:proofErr w:type="gramEnd"/>
      <w:r w:rsidRPr="00FC49A2">
        <w:rPr>
          <w:color w:val="auto"/>
          <w:sz w:val="24"/>
          <w:szCs w:val="24"/>
          <w:lang w:val="es-ES"/>
        </w:rPr>
        <w:t xml:space="preserve"> silencio, por lo tanto se le impartió aprobación al mismo.</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color w:val="auto"/>
          <w:sz w:val="24"/>
          <w:szCs w:val="24"/>
          <w:lang w:val="es-ES"/>
        </w:rPr>
        <w:t xml:space="preserve">Así las cosas, surtido el trámite procesal correspondiente y como quiera que la parte demandada se allanó a las pretensiones de la demanda, se declarará la prosperidad de las pretensiones del libelo </w:t>
      </w:r>
      <w:proofErr w:type="spellStart"/>
      <w:r w:rsidRPr="00FC49A2">
        <w:rPr>
          <w:color w:val="auto"/>
          <w:sz w:val="24"/>
          <w:szCs w:val="24"/>
          <w:lang w:val="es-ES"/>
        </w:rPr>
        <w:t>incoatorio</w:t>
      </w:r>
      <w:proofErr w:type="spellEnd"/>
      <w:r w:rsidRPr="00FC49A2">
        <w:rPr>
          <w:color w:val="auto"/>
          <w:sz w:val="24"/>
          <w:szCs w:val="24"/>
          <w:lang w:val="es-ES"/>
        </w:rPr>
        <w:t xml:space="preserve">, es decir, se ordena imponer en forma definitiva servidumbre legal de gasoducto y tránsito con ocupación permanente con fines de utilidad pública a favor de la empresa Transportadora de Gas Internacional S.A.  E.S.P. – TGI S.A E.S.P., sobre el predio denominado “CASA DE TEJA”,  ubicado en la  vereda TIBAQUIRA de la jurisdicción del municipio de Samacá, identificado con el  folio de matrícula  inmobiliaria  N° 070-61555 de la Oficina de Registro de Instrumentos Públicos de Tunja y cuya titularidad está a nombre de  CLEMENTINA SANCHEZ NEISA, JESUS SANCHEZ NEISA, JOSE ANTONIO SANCHEZ, JOSE DEL CARMNE SANCHEZ NEISA, TERESA SANCHEZ NEISA,  ENGRACIA MUNEVAR MONTAÑEZ que se encuentra comprendido según el dictamen pericial aportado, dentro de los siguientes linderos actuales: </w:t>
      </w:r>
      <w:r w:rsidRPr="00FC49A2">
        <w:rPr>
          <w:i/>
          <w:color w:val="auto"/>
          <w:sz w:val="24"/>
          <w:szCs w:val="24"/>
          <w:lang w:val="es-ES"/>
        </w:rPr>
        <w:t xml:space="preserve">“el norte linda con la quebrada en una distancia  de 37.2m  por el oriente linda con predios de MAPARO CARLOS,  en </w:t>
      </w:r>
      <w:r w:rsidRPr="00FC49A2">
        <w:rPr>
          <w:i/>
          <w:color w:val="auto"/>
          <w:sz w:val="24"/>
          <w:szCs w:val="24"/>
          <w:lang w:val="es-ES"/>
        </w:rPr>
        <w:lastRenderedPageBreak/>
        <w:t xml:space="preserve">una distancia de 188.7m  por el sur linda con una </w:t>
      </w:r>
      <w:proofErr w:type="spellStart"/>
      <w:r w:rsidRPr="00FC49A2">
        <w:rPr>
          <w:i/>
          <w:color w:val="auto"/>
          <w:sz w:val="24"/>
          <w:szCs w:val="24"/>
          <w:lang w:val="es-ES"/>
        </w:rPr>
        <w:t>via</w:t>
      </w:r>
      <w:proofErr w:type="spellEnd"/>
      <w:r w:rsidRPr="00FC49A2">
        <w:rPr>
          <w:i/>
          <w:color w:val="auto"/>
          <w:sz w:val="24"/>
          <w:szCs w:val="24"/>
          <w:lang w:val="es-ES"/>
        </w:rPr>
        <w:t xml:space="preserve"> </w:t>
      </w:r>
      <w:proofErr w:type="spellStart"/>
      <w:r w:rsidRPr="00FC49A2">
        <w:rPr>
          <w:i/>
          <w:color w:val="auto"/>
          <w:sz w:val="24"/>
          <w:szCs w:val="24"/>
          <w:lang w:val="es-ES"/>
        </w:rPr>
        <w:t>carreteable</w:t>
      </w:r>
      <w:proofErr w:type="spellEnd"/>
      <w:r w:rsidRPr="00FC49A2">
        <w:rPr>
          <w:i/>
          <w:color w:val="auto"/>
          <w:sz w:val="24"/>
          <w:szCs w:val="24"/>
          <w:lang w:val="es-ES"/>
        </w:rPr>
        <w:t xml:space="preserve">  en una distancia de 42.8m, con el occidente linda con predios de santos Montañez, punto de partida y encierra,  en una distancia de 180m, área 7500m2</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i/>
          <w:color w:val="auto"/>
          <w:sz w:val="24"/>
          <w:szCs w:val="24"/>
          <w:lang w:val="es-ES"/>
        </w:rPr>
        <w:t xml:space="preserve">Y la franja a imponer la servidumbre es: </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i/>
          <w:color w:val="auto"/>
          <w:sz w:val="24"/>
          <w:szCs w:val="24"/>
          <w:lang w:val="es-ES"/>
        </w:rPr>
        <w:t xml:space="preserve">Por el norte linda con el mismo predio casa de teja en distancia de 41 m, por el oriente linda con predios de AMPARO </w:t>
      </w:r>
      <w:proofErr w:type="gramStart"/>
      <w:r w:rsidRPr="00FC49A2">
        <w:rPr>
          <w:i/>
          <w:color w:val="auto"/>
          <w:sz w:val="24"/>
          <w:szCs w:val="24"/>
          <w:lang w:val="es-ES"/>
        </w:rPr>
        <w:t>CARLOS,  en</w:t>
      </w:r>
      <w:proofErr w:type="gramEnd"/>
      <w:r w:rsidRPr="00FC49A2">
        <w:rPr>
          <w:i/>
          <w:color w:val="auto"/>
          <w:sz w:val="24"/>
          <w:szCs w:val="24"/>
          <w:lang w:val="es-ES"/>
        </w:rPr>
        <w:t xml:space="preserve"> distancia de 16m,, sigue hacia el sur con el predio sirviente  denominado casa de teja  en una distancia de 41m, por el occidente linda con predios  de Santos Montañez, en una distancia de 16m, la cabida superficiaria de la franja es de 656m2.</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 xml:space="preserve">Igualmente, se </w:t>
      </w:r>
      <w:proofErr w:type="gramStart"/>
      <w:r w:rsidRPr="00FC49A2">
        <w:rPr>
          <w:color w:val="auto"/>
          <w:sz w:val="24"/>
          <w:szCs w:val="24"/>
          <w:lang w:val="es-ES"/>
        </w:rPr>
        <w:t>ordenara</w:t>
      </w:r>
      <w:proofErr w:type="gramEnd"/>
      <w:r w:rsidRPr="00FC49A2">
        <w:rPr>
          <w:color w:val="auto"/>
          <w:sz w:val="24"/>
          <w:szCs w:val="24"/>
          <w:lang w:val="es-ES"/>
        </w:rPr>
        <w:t xml:space="preserve"> la inscripción del gravamen impuesto en la presente providencia en el folio de matrícula inmobiliaria No. 070-61555 de la Oficina de Registro de Instrumentos Públicos de Tunja, previa cancelación de la medida cautelar de inscripción de la demanda.</w:t>
      </w:r>
    </w:p>
    <w:p w:rsidR="00FC49A2" w:rsidRPr="00FC49A2" w:rsidRDefault="00FC49A2" w:rsidP="00FC49A2">
      <w:pPr>
        <w:spacing w:line="360" w:lineRule="auto"/>
        <w:jc w:val="both"/>
        <w:rPr>
          <w:color w:val="auto"/>
          <w:sz w:val="24"/>
          <w:szCs w:val="24"/>
          <w:highlight w:val="yellow"/>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De otra parte, se condena a la empresa demandante Transportadora de Gas Internacional S.A. E.S.P.  TGI S.A. E.S.P. al pago y entrega de la suma de la suma de $615.000a favor los herederos indeterminados de CLEMENTINA SANCHEZ NEISA, herederos indeterminados de JESUS SANCHEZ NEISA, herederos indeterminados de JOSE ANTONIO SANCHEZ, herederos indeterminados de JOSE DEL CARMNE SANCHEZ NEISA, herederos indeterminados de TERESA SANCHEZ NEISA,  herederos indeterminados de ENGRACIA MUNEVAR MONTAÑEZ., por concepto de indemnización por los daños causados con la imposición de la servidumbre legal de gasoducto y tránsito con ocupación permanente con fines de utilidad pública. Valor que es menor a la suma consignada por la parte demandante, tal y como obra en la copia original de consignación de depósitos judiciales No. 213817610 que se encuentra a folio 40 del expediente por valor de $688.</w:t>
      </w:r>
      <w:proofErr w:type="gramStart"/>
      <w:r w:rsidRPr="00FC49A2">
        <w:rPr>
          <w:color w:val="auto"/>
          <w:sz w:val="24"/>
          <w:szCs w:val="24"/>
          <w:lang w:val="es-ES"/>
        </w:rPr>
        <w:t>800 ,</w:t>
      </w:r>
      <w:proofErr w:type="gramEnd"/>
      <w:r w:rsidRPr="00FC49A2">
        <w:rPr>
          <w:color w:val="auto"/>
          <w:sz w:val="24"/>
          <w:szCs w:val="24"/>
          <w:lang w:val="es-ES"/>
        </w:rPr>
        <w:t xml:space="preserve"> razón por la cual se ordena devolver la suma restante esto es $73.800 a la parte demandante Transportadora de Gas Internacional S.A. E.S.P.  TGI S.A. E.S.P., una vez ejecutoriada la presente providencia.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Por lo demás, en cuanto a las costas, el despacho prescindirá de emitir condena, habida cuenta que se trata de una servidumbre legal y que no hubo resistencia alguna de la parte demandada.</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Sinespaciado"/>
        <w:tabs>
          <w:tab w:val="left" w:pos="392"/>
        </w:tabs>
        <w:spacing w:line="360" w:lineRule="auto"/>
        <w:jc w:val="both"/>
        <w:rPr>
          <w:color w:val="auto"/>
        </w:rPr>
      </w:pPr>
      <w:r w:rsidRPr="00FC49A2">
        <w:rPr>
          <w:color w:val="auto"/>
        </w:rPr>
        <w:lastRenderedPageBreak/>
        <w:t>Por otro lado, se tiene que la curadora ad-</w:t>
      </w:r>
      <w:proofErr w:type="spellStart"/>
      <w:r w:rsidRPr="00FC49A2">
        <w:rPr>
          <w:color w:val="auto"/>
        </w:rPr>
        <w:t>lítem</w:t>
      </w:r>
      <w:proofErr w:type="spellEnd"/>
      <w:r w:rsidRPr="00FC49A2">
        <w:rPr>
          <w:color w:val="auto"/>
        </w:rPr>
        <w:t xml:space="preserve"> de las personas indeterminadas a la doctora ALBA INES BEATRIZ GONZALEZ DE </w:t>
      </w:r>
      <w:proofErr w:type="gramStart"/>
      <w:r w:rsidRPr="00FC49A2">
        <w:rPr>
          <w:color w:val="auto"/>
        </w:rPr>
        <w:t>PACHECO ,</w:t>
      </w:r>
      <w:proofErr w:type="gramEnd"/>
      <w:r w:rsidRPr="00FC49A2">
        <w:rPr>
          <w:color w:val="auto"/>
        </w:rPr>
        <w:t xml:space="preserve"> cumplió la gestión encomendada y en consecuencia, se le asigna la suma de </w:t>
      </w:r>
      <w:r w:rsidR="00206506">
        <w:rPr>
          <w:color w:val="auto"/>
        </w:rPr>
        <w:t xml:space="preserve">$450.000 </w:t>
      </w:r>
      <w:r w:rsidRPr="00FC49A2">
        <w:rPr>
          <w:color w:val="auto"/>
        </w:rPr>
        <w:t>m/</w:t>
      </w:r>
      <w:proofErr w:type="spellStart"/>
      <w:r w:rsidRPr="00FC49A2">
        <w:rPr>
          <w:color w:val="auto"/>
        </w:rPr>
        <w:t>cte</w:t>
      </w:r>
      <w:proofErr w:type="spellEnd"/>
      <w:r w:rsidRPr="00FC49A2">
        <w:rPr>
          <w:color w:val="auto"/>
        </w:rPr>
        <w:t xml:space="preserve"> por concepto de gastos de curaduría. </w:t>
      </w:r>
    </w:p>
    <w:p w:rsidR="00FC49A2" w:rsidRPr="00FC49A2" w:rsidRDefault="00FC49A2" w:rsidP="00FC49A2">
      <w:pPr>
        <w:spacing w:line="360" w:lineRule="auto"/>
        <w:jc w:val="both"/>
        <w:rPr>
          <w:color w:val="auto"/>
          <w:sz w:val="24"/>
          <w:szCs w:val="24"/>
          <w:highlight w:val="yellow"/>
          <w:lang w:val="es-ES" w:eastAsia="es-CO"/>
        </w:rPr>
      </w:pPr>
    </w:p>
    <w:p w:rsidR="00FC49A2" w:rsidRPr="00FC49A2" w:rsidRDefault="00FC49A2" w:rsidP="00FC49A2">
      <w:pPr>
        <w:spacing w:line="360" w:lineRule="auto"/>
        <w:jc w:val="both"/>
        <w:rPr>
          <w:color w:val="auto"/>
          <w:sz w:val="24"/>
          <w:szCs w:val="24"/>
          <w:highlight w:val="yellow"/>
          <w:lang w:val="es-ES" w:eastAsia="es-CO"/>
        </w:rPr>
      </w:pPr>
      <w:r w:rsidRPr="00FC49A2">
        <w:rPr>
          <w:color w:val="auto"/>
          <w:sz w:val="24"/>
          <w:szCs w:val="24"/>
          <w:lang w:val="es-ES" w:eastAsia="es-CO"/>
        </w:rPr>
        <w:t xml:space="preserve">Finalmente, se señalan como honorarios al perito designado GUSTAVO GIL </w:t>
      </w:r>
      <w:proofErr w:type="gramStart"/>
      <w:r w:rsidRPr="00FC49A2">
        <w:rPr>
          <w:color w:val="auto"/>
          <w:sz w:val="24"/>
          <w:szCs w:val="24"/>
          <w:lang w:val="es-ES" w:eastAsia="es-CO"/>
        </w:rPr>
        <w:t>CASTIBLANCO  la</w:t>
      </w:r>
      <w:proofErr w:type="gramEnd"/>
      <w:r w:rsidRPr="00FC49A2">
        <w:rPr>
          <w:color w:val="auto"/>
          <w:sz w:val="24"/>
          <w:szCs w:val="24"/>
          <w:lang w:val="es-ES" w:eastAsia="es-CO"/>
        </w:rPr>
        <w:t xml:space="preserve"> suma de </w:t>
      </w:r>
      <w:r w:rsidR="00206506">
        <w:rPr>
          <w:color w:val="auto"/>
          <w:sz w:val="24"/>
          <w:szCs w:val="24"/>
          <w:lang w:val="es-ES" w:eastAsia="es-CO"/>
        </w:rPr>
        <w:t>$600.000 p</w:t>
      </w:r>
      <w:r w:rsidRPr="00FC49A2">
        <w:rPr>
          <w:color w:val="auto"/>
          <w:sz w:val="24"/>
          <w:szCs w:val="24"/>
          <w:lang w:val="es-ES" w:eastAsia="es-CO"/>
        </w:rPr>
        <w:t>esos m/cte.</w:t>
      </w:r>
    </w:p>
    <w:p w:rsidR="00FC49A2" w:rsidRPr="00FC49A2" w:rsidRDefault="00FC49A2" w:rsidP="00FC49A2">
      <w:pPr>
        <w:pStyle w:val="Sinespaciado"/>
        <w:spacing w:line="360" w:lineRule="auto"/>
        <w:jc w:val="both"/>
        <w:rPr>
          <w:color w:val="auto"/>
        </w:rPr>
      </w:pP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color w:val="auto"/>
          <w:sz w:val="24"/>
          <w:szCs w:val="24"/>
          <w:lang w:val="es-ES"/>
        </w:rPr>
        <w:t>En mérito de lo expuesto, el Juzgado Promiscuo Municipal de Samacá (Boyacá), administrando justicia en nombre de la República de Colombia y por autoridad de la Ley.</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center"/>
        <w:rPr>
          <w:b/>
          <w:color w:val="auto"/>
          <w:sz w:val="24"/>
          <w:szCs w:val="24"/>
          <w:lang w:val="es-ES"/>
        </w:rPr>
      </w:pPr>
      <w:r w:rsidRPr="00FC49A2">
        <w:rPr>
          <w:b/>
          <w:color w:val="auto"/>
          <w:sz w:val="24"/>
          <w:szCs w:val="24"/>
          <w:lang w:val="es-ES"/>
        </w:rPr>
        <w:t>RESUELVE:</w:t>
      </w:r>
    </w:p>
    <w:p w:rsidR="00FC49A2" w:rsidRPr="00FC49A2" w:rsidRDefault="00FC49A2" w:rsidP="00FC49A2">
      <w:pPr>
        <w:spacing w:line="360" w:lineRule="auto"/>
        <w:rPr>
          <w:b/>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b/>
          <w:color w:val="auto"/>
          <w:sz w:val="24"/>
          <w:szCs w:val="24"/>
          <w:lang w:val="es-ES"/>
        </w:rPr>
        <w:t xml:space="preserve">PRIMERO: </w:t>
      </w:r>
      <w:r w:rsidRPr="00FC49A2">
        <w:rPr>
          <w:color w:val="auto"/>
          <w:sz w:val="24"/>
          <w:szCs w:val="24"/>
          <w:lang w:val="es-ES"/>
        </w:rPr>
        <w:t xml:space="preserve">IMPONER en forma definitiva servidumbre legal de gasoducto y tránsito con ocupación permanente con fines de utilidad pública a favor de la empresa Transportadora de Gas Internacional S.A.  E.S.P. – TGI S.A E.S.P., identificada con </w:t>
      </w:r>
      <w:proofErr w:type="spellStart"/>
      <w:r w:rsidRPr="00FC49A2">
        <w:rPr>
          <w:color w:val="auto"/>
          <w:sz w:val="24"/>
          <w:szCs w:val="24"/>
          <w:lang w:val="es-ES"/>
        </w:rPr>
        <w:t>Nit</w:t>
      </w:r>
      <w:proofErr w:type="spellEnd"/>
      <w:r w:rsidRPr="00FC49A2">
        <w:rPr>
          <w:color w:val="auto"/>
          <w:sz w:val="24"/>
          <w:szCs w:val="24"/>
          <w:lang w:val="es-ES"/>
        </w:rPr>
        <w:t xml:space="preserve">. 900134459-7  sobre el predio denominado CASA DE TEJA”,  ubicado en la  vereda TIBAQUIRA de la jurisdicción del municipio de Samacá, identificado con el  folio de matrícula  inmobiliaria  N° 070-61555 de la Oficina de Registro de Instrumentos Públicos de Tunja y cuya titularidad está a nombre de  CLEMENTINA SANCHEZ NEISA, JESUS SANCHEZ NEISA, JOSE ANTONIO SANCHEZ, JOSE DEL CARMNE SANCHEZ NEISA, TERESA SANCHEZ NEISA,  ENGRACIA MUNEVAR MONTAÑEZ que se encuentra comprendido según el dictamen pericial aportado, dentro de los siguientes linderos actuales: </w:t>
      </w:r>
      <w:r w:rsidRPr="00FC49A2">
        <w:rPr>
          <w:i/>
          <w:color w:val="auto"/>
          <w:sz w:val="24"/>
          <w:szCs w:val="24"/>
          <w:lang w:val="es-ES"/>
        </w:rPr>
        <w:t xml:space="preserve">“el norte linda con la quebrada en una distancia  de 37.2m  por el oriente linda con predios de MAPARO CARLOS,  en una distancia de 188.7m  por el sur linda con una </w:t>
      </w:r>
      <w:proofErr w:type="spellStart"/>
      <w:r w:rsidRPr="00FC49A2">
        <w:rPr>
          <w:i/>
          <w:color w:val="auto"/>
          <w:sz w:val="24"/>
          <w:szCs w:val="24"/>
          <w:lang w:val="es-ES"/>
        </w:rPr>
        <w:t>via</w:t>
      </w:r>
      <w:proofErr w:type="spellEnd"/>
      <w:r w:rsidRPr="00FC49A2">
        <w:rPr>
          <w:i/>
          <w:color w:val="auto"/>
          <w:sz w:val="24"/>
          <w:szCs w:val="24"/>
          <w:lang w:val="es-ES"/>
        </w:rPr>
        <w:t xml:space="preserve"> </w:t>
      </w:r>
      <w:proofErr w:type="spellStart"/>
      <w:r w:rsidRPr="00FC49A2">
        <w:rPr>
          <w:i/>
          <w:color w:val="auto"/>
          <w:sz w:val="24"/>
          <w:szCs w:val="24"/>
          <w:lang w:val="es-ES"/>
        </w:rPr>
        <w:t>carreteable</w:t>
      </w:r>
      <w:proofErr w:type="spellEnd"/>
      <w:r w:rsidRPr="00FC49A2">
        <w:rPr>
          <w:i/>
          <w:color w:val="auto"/>
          <w:sz w:val="24"/>
          <w:szCs w:val="24"/>
          <w:lang w:val="es-ES"/>
        </w:rPr>
        <w:t xml:space="preserve">  en una distancia de 42.8m, con el occidente linda con predios de santos Montañez, punto de partida y encierra,  en una distancia de 180m, área 7500m2</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i/>
          <w:color w:val="auto"/>
          <w:sz w:val="24"/>
          <w:szCs w:val="24"/>
          <w:lang w:val="es-ES"/>
        </w:rPr>
        <w:t xml:space="preserve">Y la franja a imponer la servidumbre es: </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i/>
          <w:color w:val="auto"/>
          <w:sz w:val="24"/>
          <w:szCs w:val="24"/>
          <w:lang w:val="es-ES"/>
        </w:rPr>
      </w:pPr>
      <w:r w:rsidRPr="00FC49A2">
        <w:rPr>
          <w:i/>
          <w:color w:val="auto"/>
          <w:sz w:val="24"/>
          <w:szCs w:val="24"/>
          <w:lang w:val="es-ES"/>
        </w:rPr>
        <w:t xml:space="preserve">Por el norte linda con el mismo predio casa de teja en distancia de 41 m, por el oriente linda con predios de AMPARO </w:t>
      </w:r>
      <w:proofErr w:type="gramStart"/>
      <w:r w:rsidRPr="00FC49A2">
        <w:rPr>
          <w:i/>
          <w:color w:val="auto"/>
          <w:sz w:val="24"/>
          <w:szCs w:val="24"/>
          <w:lang w:val="es-ES"/>
        </w:rPr>
        <w:t>CARLOS,  en</w:t>
      </w:r>
      <w:proofErr w:type="gramEnd"/>
      <w:r w:rsidRPr="00FC49A2">
        <w:rPr>
          <w:i/>
          <w:color w:val="auto"/>
          <w:sz w:val="24"/>
          <w:szCs w:val="24"/>
          <w:lang w:val="es-ES"/>
        </w:rPr>
        <w:t xml:space="preserve"> distancia de 16m,, sigue hacia el sur con el predio sirviente  denominado casa de teja  en una distancia de 41m, por el occidente </w:t>
      </w:r>
      <w:r w:rsidRPr="00FC49A2">
        <w:rPr>
          <w:i/>
          <w:color w:val="auto"/>
          <w:sz w:val="24"/>
          <w:szCs w:val="24"/>
          <w:lang w:val="es-ES"/>
        </w:rPr>
        <w:lastRenderedPageBreak/>
        <w:t>linda con predios  de Santos Montañez, en una distancia de 16m, la cabida superficiaria de la franja es de 656m2.</w:t>
      </w:r>
    </w:p>
    <w:p w:rsidR="00FC49A2" w:rsidRPr="00FC49A2" w:rsidRDefault="00FC49A2" w:rsidP="00FC49A2">
      <w:pPr>
        <w:spacing w:line="360" w:lineRule="auto"/>
        <w:jc w:val="both"/>
        <w:rPr>
          <w:i/>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b/>
          <w:color w:val="auto"/>
          <w:sz w:val="24"/>
          <w:szCs w:val="24"/>
          <w:lang w:val="es-ES"/>
        </w:rPr>
        <w:t xml:space="preserve">SEGUNDO: </w:t>
      </w:r>
      <w:r w:rsidRPr="00FC49A2">
        <w:rPr>
          <w:color w:val="auto"/>
          <w:sz w:val="24"/>
          <w:szCs w:val="24"/>
          <w:lang w:val="es-ES"/>
        </w:rPr>
        <w:t>ORDENAR la inscripción de este fallo en el folio de matrícula inmobiliaria N° 070- 61555 de la Oficina de Registro de Instrumentos Públicos de Tunja. Líbrese el oficio respectivo adjuntando fotocopia auténtica de esta providencia, dejándose las constancias del caso.</w:t>
      </w:r>
    </w:p>
    <w:p w:rsidR="00FC49A2" w:rsidRPr="00FC49A2" w:rsidRDefault="00FC49A2" w:rsidP="00FC49A2">
      <w:pPr>
        <w:spacing w:line="360" w:lineRule="auto"/>
        <w:jc w:val="both"/>
        <w:rPr>
          <w:b/>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b/>
          <w:color w:val="auto"/>
          <w:sz w:val="24"/>
          <w:szCs w:val="24"/>
          <w:lang w:val="es-ES"/>
        </w:rPr>
        <w:t xml:space="preserve">TERCERO: </w:t>
      </w:r>
      <w:r w:rsidRPr="00FC49A2">
        <w:rPr>
          <w:color w:val="auto"/>
          <w:sz w:val="24"/>
          <w:szCs w:val="24"/>
          <w:lang w:val="es-ES"/>
        </w:rPr>
        <w:t xml:space="preserve">CONDENAR a la empresa demandante Transportadora de Gas Internacional S.A. E.S.P.  TGI S.A. </w:t>
      </w:r>
      <w:proofErr w:type="gramStart"/>
      <w:r w:rsidRPr="00FC49A2">
        <w:rPr>
          <w:color w:val="auto"/>
          <w:sz w:val="24"/>
          <w:szCs w:val="24"/>
          <w:lang w:val="es-ES"/>
        </w:rPr>
        <w:t>E.S.P. .</w:t>
      </w:r>
      <w:proofErr w:type="gramEnd"/>
      <w:r w:rsidRPr="00FC49A2">
        <w:rPr>
          <w:color w:val="auto"/>
          <w:sz w:val="24"/>
          <w:szCs w:val="24"/>
          <w:lang w:val="es-ES"/>
        </w:rPr>
        <w:t xml:space="preserve"> al pago y entrega de la suma de la suma de $615.000a favor los herederos indeterminados de CLEMENTINA SANCHEZ NEISA, herederos indeterminados de JESUS SANCHEZ NEISA, herederos indeterminados de JOSE ANTONIO SANCHEZ, herederos indeterminados de JOSE DEL CARMNE SANCHEZ NEISA, herederos indeterminados de TERESA SANCHEZ NEISA,  herederos indeterminados de ENGRACIA MUNEVAR MONTAÑEZ., por concepto de indemnización por los daños causados con la imposición de la servidumbre legal de gasoducto y tránsito con ocupación permanente con fines de utilidad pública. Valor que es menor a la suma consignada por la parte demandante, tal y como obra en la copia original de consignación de depósitos judiciales No. 213817610 que se encuentra a folio 40 del expediente por valor de $688.</w:t>
      </w:r>
      <w:proofErr w:type="gramStart"/>
      <w:r w:rsidRPr="00FC49A2">
        <w:rPr>
          <w:color w:val="auto"/>
          <w:sz w:val="24"/>
          <w:szCs w:val="24"/>
          <w:lang w:val="es-ES"/>
        </w:rPr>
        <w:t>800 ,</w:t>
      </w:r>
      <w:proofErr w:type="gramEnd"/>
      <w:r w:rsidRPr="00FC49A2">
        <w:rPr>
          <w:color w:val="auto"/>
          <w:sz w:val="24"/>
          <w:szCs w:val="24"/>
          <w:lang w:val="es-ES"/>
        </w:rPr>
        <w:t xml:space="preserve"> razón por la cual se ordena devolver la suma restante esto es $73.800 a la parte demandante Transportadora de Gas Internacional S.A. E.S.P.  TGI S.A. E.S.P., una vez ejecutoriada la presente providencia.</w:t>
      </w:r>
    </w:p>
    <w:p w:rsidR="00FC49A2" w:rsidRPr="00FC49A2" w:rsidRDefault="00FC49A2" w:rsidP="00FC49A2">
      <w:pPr>
        <w:spacing w:line="360" w:lineRule="auto"/>
        <w:jc w:val="both"/>
        <w:rPr>
          <w:b/>
          <w:color w:val="auto"/>
          <w:sz w:val="24"/>
          <w:szCs w:val="24"/>
          <w:lang w:val="es-ES"/>
        </w:rPr>
      </w:pPr>
    </w:p>
    <w:p w:rsidR="00FC49A2" w:rsidRPr="00FC49A2" w:rsidRDefault="00FC49A2" w:rsidP="00FC49A2">
      <w:pPr>
        <w:spacing w:line="360" w:lineRule="auto"/>
        <w:jc w:val="both"/>
        <w:rPr>
          <w:color w:val="auto"/>
          <w:sz w:val="24"/>
          <w:szCs w:val="24"/>
          <w:lang w:val="es-ES"/>
        </w:rPr>
      </w:pPr>
      <w:r w:rsidRPr="00FC49A2">
        <w:rPr>
          <w:b/>
          <w:color w:val="auto"/>
          <w:sz w:val="24"/>
          <w:szCs w:val="24"/>
          <w:lang w:val="es-ES"/>
        </w:rPr>
        <w:t>CUARTO: ORDENAR</w:t>
      </w:r>
      <w:r w:rsidRPr="00FC49A2">
        <w:rPr>
          <w:color w:val="auto"/>
          <w:sz w:val="24"/>
          <w:szCs w:val="24"/>
          <w:lang w:val="es-ES"/>
        </w:rPr>
        <w:t xml:space="preserve"> la cancelación de la inscripción de la demanda, la cual fue dispuesta mediante auto de fecha 30 de octubre de </w:t>
      </w:r>
      <w:proofErr w:type="gramStart"/>
      <w:r w:rsidRPr="00FC49A2">
        <w:rPr>
          <w:color w:val="auto"/>
          <w:sz w:val="24"/>
          <w:szCs w:val="24"/>
          <w:lang w:val="es-ES"/>
        </w:rPr>
        <w:t>2017  y</w:t>
      </w:r>
      <w:proofErr w:type="gramEnd"/>
      <w:r w:rsidRPr="00FC49A2">
        <w:rPr>
          <w:color w:val="auto"/>
          <w:sz w:val="24"/>
          <w:szCs w:val="24"/>
          <w:lang w:val="es-ES"/>
        </w:rPr>
        <w:t xml:space="preserve"> comunicada mediante oficio civil No. 0061 del 06/02/2018, habiéndose inscrito al folio de matrícula inmobiliaria N° 070-61555 - Anotación N°3 Fecha 08/02/2018 Radicación 2018-070-6-1519. Ofíciese.</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b/>
          <w:color w:val="auto"/>
          <w:sz w:val="24"/>
          <w:szCs w:val="24"/>
          <w:lang w:val="es-ES"/>
        </w:rPr>
      </w:pPr>
      <w:r w:rsidRPr="00FC49A2">
        <w:rPr>
          <w:b/>
          <w:color w:val="auto"/>
          <w:sz w:val="24"/>
          <w:szCs w:val="24"/>
          <w:lang w:val="es-ES"/>
        </w:rPr>
        <w:t xml:space="preserve">QUINTO: - </w:t>
      </w:r>
      <w:r w:rsidRPr="00FC49A2">
        <w:rPr>
          <w:color w:val="auto"/>
          <w:sz w:val="24"/>
          <w:szCs w:val="24"/>
          <w:lang w:val="es-ES"/>
        </w:rPr>
        <w:t>Sin costas, por no haberse presentado oposición.</w:t>
      </w:r>
      <w:r w:rsidRPr="00FC49A2">
        <w:rPr>
          <w:b/>
          <w:color w:val="auto"/>
          <w:sz w:val="24"/>
          <w:szCs w:val="24"/>
          <w:lang w:val="es-ES"/>
        </w:rPr>
        <w:t xml:space="preserve"> </w:t>
      </w:r>
    </w:p>
    <w:p w:rsidR="00FC49A2" w:rsidRPr="00FC49A2" w:rsidRDefault="00FC49A2" w:rsidP="00FC49A2">
      <w:pPr>
        <w:spacing w:line="360" w:lineRule="auto"/>
        <w:jc w:val="both"/>
        <w:rPr>
          <w:b/>
          <w:color w:val="auto"/>
          <w:sz w:val="24"/>
          <w:szCs w:val="24"/>
          <w:lang w:val="es-ES"/>
        </w:rPr>
      </w:pPr>
    </w:p>
    <w:p w:rsidR="00FC49A2" w:rsidRPr="00FC49A2" w:rsidRDefault="00FC49A2" w:rsidP="00FC49A2">
      <w:pPr>
        <w:spacing w:line="360" w:lineRule="auto"/>
        <w:jc w:val="both"/>
        <w:rPr>
          <w:b/>
          <w:color w:val="auto"/>
          <w:sz w:val="24"/>
          <w:szCs w:val="24"/>
          <w:lang w:val="es-ES"/>
        </w:rPr>
      </w:pPr>
      <w:r>
        <w:rPr>
          <w:b/>
          <w:color w:val="auto"/>
          <w:sz w:val="24"/>
          <w:szCs w:val="24"/>
          <w:lang w:val="es-ES"/>
        </w:rPr>
        <w:t>SEXTO</w:t>
      </w:r>
      <w:r w:rsidRPr="00FC49A2">
        <w:rPr>
          <w:b/>
          <w:color w:val="auto"/>
          <w:sz w:val="24"/>
          <w:szCs w:val="24"/>
          <w:lang w:val="es-ES"/>
        </w:rPr>
        <w:t>- SEÑALAR</w:t>
      </w:r>
      <w:r w:rsidRPr="00FC49A2">
        <w:rPr>
          <w:color w:val="auto"/>
          <w:sz w:val="24"/>
          <w:szCs w:val="24"/>
          <w:lang w:val="es-ES"/>
        </w:rPr>
        <w:t xml:space="preserve"> como gastos de curaduría a la doctora ALBA INES BEATRIZ GONZALEZ DE PACHECO, la suma de </w:t>
      </w:r>
      <w:r w:rsidR="00206506">
        <w:rPr>
          <w:color w:val="auto"/>
          <w:sz w:val="24"/>
          <w:szCs w:val="24"/>
          <w:lang w:val="es-ES"/>
        </w:rPr>
        <w:t>$450.000</w:t>
      </w:r>
      <w:r w:rsidRPr="00FC49A2">
        <w:rPr>
          <w:color w:val="auto"/>
          <w:sz w:val="24"/>
          <w:szCs w:val="24"/>
          <w:lang w:val="es-ES"/>
        </w:rPr>
        <w:t xml:space="preserve"> m/</w:t>
      </w:r>
      <w:proofErr w:type="spellStart"/>
      <w:r w:rsidRPr="00FC49A2">
        <w:rPr>
          <w:color w:val="auto"/>
          <w:sz w:val="24"/>
          <w:szCs w:val="24"/>
          <w:lang w:val="es-ES"/>
        </w:rPr>
        <w:t>cte</w:t>
      </w:r>
      <w:proofErr w:type="spellEnd"/>
      <w:r w:rsidRPr="00FC49A2">
        <w:rPr>
          <w:color w:val="auto"/>
          <w:sz w:val="24"/>
          <w:szCs w:val="24"/>
          <w:lang w:val="es-ES"/>
        </w:rPr>
        <w:t>, como gastos de curaduría.</w:t>
      </w:r>
    </w:p>
    <w:p w:rsidR="00FC49A2" w:rsidRPr="00FC49A2" w:rsidRDefault="00FC49A2" w:rsidP="00FC49A2">
      <w:pPr>
        <w:spacing w:line="360" w:lineRule="auto"/>
        <w:jc w:val="both"/>
        <w:rPr>
          <w:b/>
          <w:color w:val="auto"/>
          <w:sz w:val="24"/>
          <w:szCs w:val="24"/>
          <w:lang w:val="es-ES"/>
        </w:rPr>
      </w:pPr>
    </w:p>
    <w:p w:rsidR="00FC49A2" w:rsidRPr="00FC49A2" w:rsidRDefault="00FC49A2" w:rsidP="00FC49A2">
      <w:pPr>
        <w:spacing w:line="360" w:lineRule="auto"/>
        <w:jc w:val="both"/>
        <w:rPr>
          <w:color w:val="auto"/>
          <w:sz w:val="24"/>
          <w:szCs w:val="24"/>
          <w:highlight w:val="yellow"/>
          <w:lang w:val="es-ES" w:eastAsia="es-CO"/>
        </w:rPr>
      </w:pPr>
      <w:r w:rsidRPr="00FC49A2">
        <w:rPr>
          <w:b/>
          <w:color w:val="auto"/>
          <w:sz w:val="24"/>
          <w:szCs w:val="24"/>
          <w:lang w:val="es-ES"/>
        </w:rPr>
        <w:t>SÉPTIMO- SEÑALAR</w:t>
      </w:r>
      <w:r w:rsidRPr="00FC49A2">
        <w:rPr>
          <w:color w:val="auto"/>
          <w:sz w:val="24"/>
          <w:szCs w:val="24"/>
          <w:lang w:val="es-ES"/>
        </w:rPr>
        <w:t xml:space="preserve"> como honorarios al perito designado GUSTAVO GIL CASTIBLANCO la suma de </w:t>
      </w:r>
      <w:r w:rsidR="00206506">
        <w:rPr>
          <w:color w:val="auto"/>
          <w:sz w:val="24"/>
          <w:szCs w:val="24"/>
          <w:lang w:val="es-ES" w:eastAsia="es-CO"/>
        </w:rPr>
        <w:t xml:space="preserve">$ 600.000 </w:t>
      </w:r>
      <w:r w:rsidRPr="00FC49A2">
        <w:rPr>
          <w:color w:val="auto"/>
          <w:sz w:val="24"/>
          <w:szCs w:val="24"/>
          <w:lang w:val="es-ES" w:eastAsia="es-CO"/>
        </w:rPr>
        <w:t>pesos m/cte</w:t>
      </w:r>
      <w:bookmarkStart w:id="0" w:name="_GoBack"/>
      <w:bookmarkEnd w:id="0"/>
      <w:r w:rsidRPr="00FC49A2">
        <w:rPr>
          <w:color w:val="auto"/>
          <w:sz w:val="24"/>
          <w:szCs w:val="24"/>
          <w:lang w:val="es-ES" w:eastAsia="es-CO"/>
        </w:rPr>
        <w:t>.</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spacing w:line="360" w:lineRule="auto"/>
        <w:jc w:val="both"/>
        <w:rPr>
          <w:color w:val="auto"/>
          <w:sz w:val="24"/>
          <w:szCs w:val="24"/>
          <w:lang w:val="es-ES"/>
        </w:rPr>
      </w:pPr>
      <w:proofErr w:type="gramStart"/>
      <w:r w:rsidRPr="00FC49A2">
        <w:rPr>
          <w:b/>
          <w:color w:val="auto"/>
          <w:sz w:val="24"/>
          <w:szCs w:val="24"/>
          <w:lang w:val="es-ES"/>
        </w:rPr>
        <w:t>OCTAVO.-</w:t>
      </w:r>
      <w:proofErr w:type="gramEnd"/>
      <w:r w:rsidRPr="00FC49A2">
        <w:rPr>
          <w:b/>
          <w:color w:val="auto"/>
          <w:sz w:val="24"/>
          <w:szCs w:val="24"/>
          <w:lang w:val="es-ES"/>
        </w:rPr>
        <w:t xml:space="preserve"> </w:t>
      </w:r>
      <w:r w:rsidRPr="00FC49A2">
        <w:rPr>
          <w:color w:val="auto"/>
          <w:sz w:val="24"/>
          <w:szCs w:val="24"/>
          <w:lang w:val="es-ES"/>
        </w:rPr>
        <w:t>En firme esta sentencia y una vez se acredite el pago de los honorarios y gastos a los que tienen derecho los auxiliares de la Justicia que intervinieron dentro del presente asunto (curador ad-</w:t>
      </w:r>
      <w:proofErr w:type="spellStart"/>
      <w:r w:rsidRPr="00FC49A2">
        <w:rPr>
          <w:color w:val="auto"/>
          <w:sz w:val="24"/>
          <w:szCs w:val="24"/>
          <w:lang w:val="es-ES"/>
        </w:rPr>
        <w:t>lítem</w:t>
      </w:r>
      <w:proofErr w:type="spellEnd"/>
      <w:r w:rsidRPr="00FC49A2">
        <w:rPr>
          <w:color w:val="auto"/>
          <w:sz w:val="24"/>
          <w:szCs w:val="24"/>
          <w:lang w:val="es-ES"/>
        </w:rPr>
        <w:t xml:space="preserve"> y perito), por secretaría expídanse los oficios ordenados en los numerales anteriores. </w:t>
      </w:r>
    </w:p>
    <w:p w:rsidR="00FC49A2" w:rsidRPr="00FC49A2" w:rsidRDefault="00FC49A2" w:rsidP="00FC49A2">
      <w:pPr>
        <w:spacing w:line="360" w:lineRule="auto"/>
        <w:jc w:val="both"/>
        <w:rPr>
          <w:color w:val="auto"/>
          <w:sz w:val="24"/>
          <w:szCs w:val="24"/>
          <w:lang w:val="es-ES"/>
        </w:rPr>
      </w:pPr>
    </w:p>
    <w:p w:rsidR="00FC49A2" w:rsidRPr="00FC49A2" w:rsidRDefault="00FC49A2" w:rsidP="00FC49A2">
      <w:pPr>
        <w:pStyle w:val="Sinespaciado"/>
        <w:spacing w:line="360" w:lineRule="auto"/>
        <w:jc w:val="both"/>
        <w:rPr>
          <w:color w:val="auto"/>
        </w:rPr>
      </w:pPr>
      <w:r>
        <w:rPr>
          <w:b/>
          <w:color w:val="auto"/>
        </w:rPr>
        <w:t>NOVENO</w:t>
      </w:r>
      <w:r w:rsidRPr="00FC49A2">
        <w:rPr>
          <w:b/>
          <w:color w:val="auto"/>
        </w:rPr>
        <w:t xml:space="preserve">- </w:t>
      </w:r>
      <w:r w:rsidRPr="00FC49A2">
        <w:rPr>
          <w:color w:val="auto"/>
        </w:rPr>
        <w:t xml:space="preserve">En firme esta providencia y cumplido lo anterior, archívese el expediente. </w:t>
      </w:r>
    </w:p>
    <w:p w:rsidR="00FC49A2" w:rsidRPr="00FC49A2" w:rsidRDefault="00FC49A2" w:rsidP="00FC49A2">
      <w:pPr>
        <w:pStyle w:val="301"/>
        <w:tabs>
          <w:tab w:val="left" w:pos="708"/>
          <w:tab w:val="left" w:pos="1416"/>
          <w:tab w:val="left" w:pos="2124"/>
          <w:tab w:val="left" w:pos="2832"/>
          <w:tab w:val="left" w:pos="3540"/>
          <w:tab w:val="left" w:pos="4248"/>
          <w:tab w:val="left" w:pos="4956"/>
        </w:tabs>
        <w:spacing w:line="360" w:lineRule="auto"/>
        <w:jc w:val="both"/>
        <w:rPr>
          <w:b/>
          <w:color w:val="auto"/>
          <w:sz w:val="24"/>
          <w:szCs w:val="24"/>
          <w:lang w:val="es-MX"/>
        </w:rPr>
      </w:pPr>
    </w:p>
    <w:p w:rsidR="002B71F9" w:rsidRPr="00FC49A2" w:rsidRDefault="002B71F9" w:rsidP="00FC49A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24"/>
          <w:szCs w:val="24"/>
          <w:lang w:val="es-MX"/>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FC49A2" w:rsidRPr="00206506" w:rsidTr="00C45B19">
        <w:trPr>
          <w:trHeight w:val="559"/>
        </w:trPr>
        <w:tc>
          <w:tcPr>
            <w:tcW w:w="3774" w:type="dxa"/>
            <w:tcBorders>
              <w:top w:val="single" w:sz="6" w:space="0" w:color="auto"/>
              <w:left w:val="single" w:sz="6" w:space="0" w:color="auto"/>
              <w:bottom w:val="single" w:sz="6" w:space="0" w:color="auto"/>
              <w:right w:val="single" w:sz="6" w:space="0" w:color="auto"/>
            </w:tcBorders>
            <w:hideMark/>
          </w:tcPr>
          <w:p w:rsidR="002B71F9" w:rsidRPr="00FC49A2" w:rsidRDefault="002B71F9" w:rsidP="00FC49A2">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2B71F9" w:rsidRPr="00FC49A2" w:rsidRDefault="002B71F9" w:rsidP="00FC49A2">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FC49A2">
              <w:rPr>
                <w:rFonts w:ascii="Times New Roman" w:eastAsia="Arial Unicode MS" w:hAnsi="Times New Roman" w:cs="Times New Roman"/>
                <w:b/>
                <w:color w:val="auto"/>
                <w:sz w:val="16"/>
                <w:szCs w:val="16"/>
                <w:lang w:val="es-ES" w:eastAsia="en-US"/>
              </w:rPr>
              <w:t>JUZGADO PROMISCUO MUNICIPAL DE SAMACÁ</w:t>
            </w:r>
          </w:p>
        </w:tc>
      </w:tr>
      <w:tr w:rsidR="00FC49A2" w:rsidRPr="00FC49A2" w:rsidTr="00C45B19">
        <w:trPr>
          <w:trHeight w:val="2121"/>
        </w:trPr>
        <w:tc>
          <w:tcPr>
            <w:tcW w:w="3774" w:type="dxa"/>
            <w:tcBorders>
              <w:top w:val="single" w:sz="6" w:space="0" w:color="auto"/>
              <w:left w:val="single" w:sz="6" w:space="0" w:color="auto"/>
              <w:bottom w:val="single" w:sz="6" w:space="0" w:color="auto"/>
              <w:right w:val="single" w:sz="6" w:space="0" w:color="auto"/>
            </w:tcBorders>
          </w:tcPr>
          <w:p w:rsidR="002B71F9" w:rsidRPr="00FC49A2" w:rsidRDefault="002B71F9" w:rsidP="00FC49A2">
            <w:pPr>
              <w:pStyle w:val="Ttulo1"/>
              <w:spacing w:line="360" w:lineRule="auto"/>
              <w:jc w:val="center"/>
              <w:rPr>
                <w:rFonts w:ascii="Times New Roman" w:eastAsia="Arial Unicode MS" w:hAnsi="Times New Roman" w:cs="Times New Roman"/>
                <w:i w:val="0"/>
                <w:sz w:val="16"/>
                <w:szCs w:val="16"/>
                <w:lang w:eastAsia="en-US"/>
              </w:rPr>
            </w:pPr>
          </w:p>
          <w:p w:rsidR="002B71F9" w:rsidRPr="00FC49A2" w:rsidRDefault="002B71F9" w:rsidP="00FC49A2">
            <w:pPr>
              <w:pStyle w:val="Ttulo1"/>
              <w:spacing w:line="360" w:lineRule="auto"/>
              <w:jc w:val="center"/>
              <w:rPr>
                <w:rFonts w:ascii="Times New Roman" w:eastAsia="Arial Unicode MS" w:hAnsi="Times New Roman" w:cs="Times New Roman"/>
                <w:i w:val="0"/>
                <w:sz w:val="16"/>
                <w:szCs w:val="16"/>
                <w:lang w:eastAsia="en-US"/>
              </w:rPr>
            </w:pPr>
            <w:r w:rsidRPr="00FC49A2">
              <w:rPr>
                <w:rFonts w:ascii="Times New Roman" w:eastAsia="Arial Unicode MS" w:hAnsi="Times New Roman" w:cs="Times New Roman"/>
                <w:i w:val="0"/>
                <w:sz w:val="16"/>
                <w:szCs w:val="16"/>
                <w:lang w:eastAsia="en-US"/>
              </w:rPr>
              <w:t>NOTIFICACIÓN POR ESTADO</w:t>
            </w:r>
          </w:p>
          <w:p w:rsidR="002B71F9" w:rsidRPr="00FC49A2" w:rsidRDefault="002B71F9" w:rsidP="00FC49A2">
            <w:pPr>
              <w:spacing w:line="360" w:lineRule="auto"/>
              <w:jc w:val="center"/>
              <w:rPr>
                <w:rFonts w:eastAsia="Arial Unicode MS"/>
                <w:color w:val="auto"/>
                <w:sz w:val="16"/>
                <w:szCs w:val="16"/>
                <w:lang w:val="es-MX" w:eastAsia="en-US"/>
              </w:rPr>
            </w:pPr>
          </w:p>
          <w:p w:rsidR="002B71F9" w:rsidRPr="00FC49A2" w:rsidRDefault="002B71F9" w:rsidP="00FC49A2">
            <w:pPr>
              <w:spacing w:line="360" w:lineRule="auto"/>
              <w:jc w:val="center"/>
              <w:rPr>
                <w:rFonts w:eastAsia="Arial Unicode MS"/>
                <w:color w:val="auto"/>
                <w:sz w:val="16"/>
                <w:szCs w:val="16"/>
                <w:lang w:val="es-MX" w:eastAsia="en-US"/>
              </w:rPr>
            </w:pPr>
            <w:r w:rsidRPr="00FC49A2">
              <w:rPr>
                <w:rFonts w:eastAsia="Arial Unicode MS"/>
                <w:color w:val="auto"/>
                <w:sz w:val="16"/>
                <w:szCs w:val="16"/>
                <w:lang w:val="es-MX" w:eastAsia="en-US"/>
              </w:rPr>
              <w:t xml:space="preserve">La providencia anterior se notificó por anotación en el </w:t>
            </w:r>
            <w:r w:rsidRPr="00FC49A2">
              <w:rPr>
                <w:rFonts w:eastAsia="Arial Unicode MS"/>
                <w:bCs/>
                <w:color w:val="auto"/>
                <w:sz w:val="16"/>
                <w:szCs w:val="16"/>
                <w:lang w:val="es-MX" w:eastAsia="en-US"/>
              </w:rPr>
              <w:t xml:space="preserve">Estado No.08 </w:t>
            </w:r>
            <w:r w:rsidRPr="00FC49A2">
              <w:rPr>
                <w:rFonts w:eastAsia="Arial Unicode MS"/>
                <w:color w:val="auto"/>
                <w:sz w:val="16"/>
                <w:szCs w:val="16"/>
                <w:lang w:val="es-MX" w:eastAsia="en-US"/>
              </w:rPr>
              <w:t xml:space="preserve">fijado el día </w:t>
            </w:r>
            <w:proofErr w:type="gramStart"/>
            <w:r w:rsidRPr="00FC49A2">
              <w:rPr>
                <w:rFonts w:eastAsia="Arial Unicode MS"/>
                <w:color w:val="auto"/>
                <w:sz w:val="16"/>
                <w:szCs w:val="16"/>
                <w:lang w:val="es-MX" w:eastAsia="en-US"/>
              </w:rPr>
              <w:t>10  de</w:t>
            </w:r>
            <w:proofErr w:type="gramEnd"/>
            <w:r w:rsidRPr="00FC49A2">
              <w:rPr>
                <w:rFonts w:eastAsia="Arial Unicode MS"/>
                <w:color w:val="auto"/>
                <w:sz w:val="16"/>
                <w:szCs w:val="16"/>
                <w:lang w:val="es-MX" w:eastAsia="en-US"/>
              </w:rPr>
              <w:t xml:space="preserve"> marzo de 2023</w:t>
            </w:r>
          </w:p>
          <w:p w:rsidR="002B71F9" w:rsidRPr="00FC49A2" w:rsidRDefault="002B71F9" w:rsidP="00FC49A2">
            <w:pPr>
              <w:spacing w:line="360" w:lineRule="auto"/>
              <w:jc w:val="both"/>
              <w:rPr>
                <w:rFonts w:eastAsia="Arial Unicode MS"/>
                <w:color w:val="auto"/>
                <w:sz w:val="16"/>
                <w:szCs w:val="16"/>
                <w:lang w:val="es-MX" w:eastAsia="en-US"/>
              </w:rPr>
            </w:pPr>
          </w:p>
          <w:p w:rsidR="002B71F9" w:rsidRPr="00FC49A2" w:rsidRDefault="002B71F9" w:rsidP="00FC49A2">
            <w:pPr>
              <w:spacing w:line="360" w:lineRule="auto"/>
              <w:jc w:val="both"/>
              <w:rPr>
                <w:rFonts w:eastAsia="Arial Unicode MS"/>
                <w:color w:val="auto"/>
                <w:sz w:val="16"/>
                <w:szCs w:val="16"/>
                <w:lang w:val="es-MX" w:eastAsia="en-US"/>
              </w:rPr>
            </w:pPr>
          </w:p>
          <w:p w:rsidR="002B71F9" w:rsidRPr="00FC49A2" w:rsidRDefault="002B71F9" w:rsidP="00FC49A2">
            <w:pPr>
              <w:spacing w:line="360" w:lineRule="auto"/>
              <w:jc w:val="center"/>
              <w:rPr>
                <w:rFonts w:eastAsia="Arial Unicode MS"/>
                <w:b/>
                <w:color w:val="auto"/>
                <w:sz w:val="16"/>
                <w:szCs w:val="16"/>
                <w:lang w:val="es-MX" w:eastAsia="en-US"/>
              </w:rPr>
            </w:pPr>
            <w:r w:rsidRPr="00FC49A2">
              <w:rPr>
                <w:rFonts w:eastAsia="Arial Unicode MS"/>
                <w:b/>
                <w:color w:val="auto"/>
                <w:sz w:val="16"/>
                <w:szCs w:val="16"/>
                <w:lang w:val="es-MX" w:eastAsia="en-US"/>
              </w:rPr>
              <w:t>MARCELA MORENO ALDANA</w:t>
            </w:r>
          </w:p>
          <w:p w:rsidR="002B71F9" w:rsidRPr="00FC49A2" w:rsidRDefault="002B71F9" w:rsidP="00FC49A2">
            <w:pPr>
              <w:spacing w:line="360" w:lineRule="auto"/>
              <w:jc w:val="center"/>
              <w:rPr>
                <w:rFonts w:eastAsia="Arial Unicode MS"/>
                <w:color w:val="auto"/>
                <w:sz w:val="16"/>
                <w:szCs w:val="16"/>
                <w:lang w:val="es-MX" w:eastAsia="en-US"/>
              </w:rPr>
            </w:pPr>
            <w:r w:rsidRPr="00FC49A2">
              <w:rPr>
                <w:rFonts w:eastAsia="Arial Unicode MS"/>
                <w:b/>
                <w:color w:val="auto"/>
                <w:sz w:val="16"/>
                <w:szCs w:val="16"/>
                <w:lang w:val="es-MX" w:eastAsia="en-US"/>
              </w:rPr>
              <w:t>SECRETARIA</w:t>
            </w:r>
          </w:p>
        </w:tc>
      </w:tr>
    </w:tbl>
    <w:p w:rsidR="002B71F9" w:rsidRPr="00FC49A2" w:rsidRDefault="002B71F9" w:rsidP="00FC49A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4"/>
          <w:szCs w:val="24"/>
          <w:lang w:val="es-MX"/>
        </w:rPr>
      </w:pPr>
      <w:r w:rsidRPr="00FC49A2">
        <w:rPr>
          <w:rFonts w:eastAsia="Arial Unicode MS"/>
          <w:b/>
          <w:color w:val="auto"/>
          <w:sz w:val="24"/>
          <w:szCs w:val="24"/>
          <w:lang w:val="es-MX"/>
        </w:rPr>
        <w:t xml:space="preserve">N O T I F Í Q U E S E </w:t>
      </w:r>
    </w:p>
    <w:p w:rsidR="002B71F9" w:rsidRPr="00FC49A2" w:rsidRDefault="002B71F9" w:rsidP="00FC49A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4"/>
          <w:szCs w:val="24"/>
          <w:lang w:val="es-MX"/>
        </w:rPr>
      </w:pPr>
    </w:p>
    <w:p w:rsidR="002B71F9" w:rsidRPr="00FC49A2" w:rsidRDefault="002B71F9" w:rsidP="00FC49A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4"/>
          <w:szCs w:val="24"/>
          <w:lang w:val="es-MX"/>
        </w:rPr>
      </w:pPr>
    </w:p>
    <w:p w:rsidR="002B71F9" w:rsidRPr="00FC49A2" w:rsidRDefault="002B71F9" w:rsidP="00FC49A2">
      <w:pPr>
        <w:spacing w:line="360" w:lineRule="auto"/>
        <w:rPr>
          <w:rFonts w:eastAsia="Arial Unicode MS"/>
          <w:b/>
          <w:color w:val="auto"/>
          <w:sz w:val="24"/>
          <w:szCs w:val="24"/>
          <w:lang w:val="es-MX"/>
        </w:rPr>
      </w:pPr>
      <w:r w:rsidRPr="00FC49A2">
        <w:rPr>
          <w:rFonts w:eastAsia="Arial Unicode MS"/>
          <w:b/>
          <w:color w:val="auto"/>
          <w:sz w:val="24"/>
          <w:szCs w:val="24"/>
          <w:lang w:val="es-MX"/>
        </w:rPr>
        <w:t>IVÁN ORLANDO FONSECA ROJAS</w:t>
      </w:r>
    </w:p>
    <w:p w:rsidR="002B71F9" w:rsidRPr="00FC49A2" w:rsidRDefault="002B71F9" w:rsidP="00FC49A2">
      <w:pPr>
        <w:spacing w:line="360" w:lineRule="auto"/>
        <w:jc w:val="center"/>
        <w:rPr>
          <w:color w:val="auto"/>
          <w:sz w:val="24"/>
          <w:szCs w:val="24"/>
          <w:lang w:val="es-ES"/>
        </w:rPr>
      </w:pPr>
      <w:r w:rsidRPr="00FC49A2">
        <w:rPr>
          <w:rFonts w:eastAsia="Arial Unicode MS"/>
          <w:b/>
          <w:color w:val="auto"/>
          <w:sz w:val="24"/>
          <w:szCs w:val="24"/>
          <w:lang w:val="es-MX"/>
        </w:rPr>
        <w:t>JUEZ</w:t>
      </w: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p w:rsidR="002B71F9" w:rsidRPr="00FC49A2" w:rsidRDefault="002B71F9" w:rsidP="00FC49A2">
      <w:pPr>
        <w:spacing w:line="360" w:lineRule="auto"/>
        <w:rPr>
          <w:color w:val="auto"/>
          <w:sz w:val="24"/>
          <w:szCs w:val="24"/>
          <w:lang w:val="es-ES"/>
        </w:rPr>
      </w:pPr>
    </w:p>
    <w:sectPr w:rsidR="002B71F9" w:rsidRPr="00FC49A2"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104BE"/>
    <w:multiLevelType w:val="hybridMultilevel"/>
    <w:tmpl w:val="838ADCCC"/>
    <w:lvl w:ilvl="0" w:tplc="E6029362">
      <w:start w:val="3"/>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1F9"/>
    <w:rsid w:val="00206506"/>
    <w:rsid w:val="002B71F9"/>
    <w:rsid w:val="008E14A2"/>
    <w:rsid w:val="00FC4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9AD7"/>
  <w15:chartTrackingRefBased/>
  <w15:docId w15:val="{D0A5F8C0-0C15-4942-B850-0D3D2F5F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1F9"/>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2B71F9"/>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2B71F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71F9"/>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2B71F9"/>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2B71F9"/>
    <w:pPr>
      <w:tabs>
        <w:tab w:val="center" w:pos="4252"/>
        <w:tab w:val="right" w:pos="8504"/>
      </w:tabs>
    </w:pPr>
  </w:style>
  <w:style w:type="character" w:customStyle="1" w:styleId="EncabezadoCar">
    <w:name w:val="Encabezado Car"/>
    <w:basedOn w:val="Fuentedeprrafopredeter"/>
    <w:link w:val="Encabezado"/>
    <w:uiPriority w:val="99"/>
    <w:rsid w:val="002B71F9"/>
    <w:rPr>
      <w:rFonts w:ascii="Times New Roman" w:eastAsia="Times New Roman" w:hAnsi="Times New Roman" w:cs="Times New Roman"/>
      <w:color w:val="000000"/>
      <w:sz w:val="20"/>
      <w:szCs w:val="20"/>
      <w:lang w:eastAsia="es-ES"/>
    </w:rPr>
  </w:style>
  <w:style w:type="paragraph" w:customStyle="1" w:styleId="301">
    <w:name w:val="301"/>
    <w:basedOn w:val="Normal"/>
    <w:rsid w:val="002B71F9"/>
  </w:style>
  <w:style w:type="paragraph" w:customStyle="1" w:styleId="307">
    <w:name w:val="307"/>
    <w:basedOn w:val="Normal"/>
    <w:rsid w:val="002B71F9"/>
  </w:style>
  <w:style w:type="paragraph" w:customStyle="1" w:styleId="302">
    <w:name w:val="302"/>
    <w:basedOn w:val="Normal"/>
    <w:rsid w:val="002B71F9"/>
  </w:style>
  <w:style w:type="table" w:styleId="Tablaconcuadrcula">
    <w:name w:val="Table Grid"/>
    <w:basedOn w:val="Tablanormal"/>
    <w:uiPriority w:val="39"/>
    <w:rsid w:val="002B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71F9"/>
    <w:pPr>
      <w:overflowPunct/>
      <w:autoSpaceDE/>
      <w:autoSpaceDN/>
      <w:adjustRightInd/>
      <w:spacing w:before="100" w:beforeAutospacing="1" w:after="100" w:afterAutospacing="1"/>
    </w:pPr>
    <w:rPr>
      <w:color w:val="auto"/>
      <w:sz w:val="24"/>
      <w:szCs w:val="24"/>
      <w:lang w:val="es-ES"/>
    </w:rPr>
  </w:style>
  <w:style w:type="paragraph" w:styleId="Prrafodelista">
    <w:name w:val="List Paragraph"/>
    <w:basedOn w:val="Normal"/>
    <w:uiPriority w:val="34"/>
    <w:qFormat/>
    <w:rsid w:val="00FC49A2"/>
    <w:pPr>
      <w:overflowPunct/>
      <w:autoSpaceDE/>
      <w:autoSpaceDN/>
      <w:adjustRightInd/>
      <w:ind w:left="720"/>
      <w:contextualSpacing/>
    </w:pPr>
    <w:rPr>
      <w:color w:val="auto"/>
      <w:sz w:val="24"/>
      <w:szCs w:val="24"/>
      <w:lang w:val="es-CO" w:eastAsia="es-CO"/>
    </w:rPr>
  </w:style>
  <w:style w:type="paragraph" w:customStyle="1" w:styleId="Cuerpodetextoconsangra">
    <w:name w:val="Cuerpo de texto con sangría"/>
    <w:basedOn w:val="Normal"/>
    <w:rsid w:val="00FC49A2"/>
    <w:pPr>
      <w:suppressAutoHyphens/>
      <w:overflowPunct/>
      <w:autoSpaceDE/>
      <w:autoSpaceDN/>
      <w:adjustRightInd/>
      <w:spacing w:after="120" w:line="100" w:lineRule="atLeast"/>
      <w:ind w:left="283"/>
    </w:pPr>
    <w:rPr>
      <w:color w:val="auto"/>
      <w:sz w:val="24"/>
      <w:szCs w:val="24"/>
      <w:lang w:val="es-ES"/>
    </w:rPr>
  </w:style>
  <w:style w:type="character" w:customStyle="1" w:styleId="apple-style-span">
    <w:name w:val="apple-style-span"/>
    <w:basedOn w:val="Fuentedeprrafopredeter"/>
    <w:rsid w:val="00FC49A2"/>
  </w:style>
  <w:style w:type="character" w:customStyle="1" w:styleId="apple-converted-space">
    <w:name w:val="apple-converted-space"/>
    <w:basedOn w:val="Fuentedeprrafopredeter"/>
    <w:rsid w:val="00FC49A2"/>
  </w:style>
  <w:style w:type="paragraph" w:styleId="Sinespaciado">
    <w:name w:val="No Spacing"/>
    <w:uiPriority w:val="1"/>
    <w:qFormat/>
    <w:rsid w:val="00FC49A2"/>
    <w:pPr>
      <w:spacing w:after="0" w:line="240" w:lineRule="auto"/>
    </w:pPr>
    <w:rPr>
      <w:rFonts w:ascii="Times New Roman" w:eastAsia="Times New Roman" w:hAnsi="Times New Roman" w:cs="Times New Roman"/>
      <w:color w:val="00000A"/>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4312</Words>
  <Characters>24579</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2</cp:revision>
  <dcterms:created xsi:type="dcterms:W3CDTF">2023-02-28T19:39:00Z</dcterms:created>
  <dcterms:modified xsi:type="dcterms:W3CDTF">2023-03-01T17:50:00Z</dcterms:modified>
</cp:coreProperties>
</file>